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line="576" w:lineRule="exact"/>
        <w:jc w:val="center"/>
        <w:outlineLvl w:val="0"/>
        <w:rPr>
          <w:rFonts w:hint="default" w:ascii="Times New Roman" w:hAnsi="Times New Roman" w:eastAsia="方正小标宋简体" w:cs="Times New Roman"/>
          <w:sz w:val="72"/>
          <w:szCs w:val="72"/>
        </w:rPr>
      </w:pPr>
      <w:bookmarkStart w:id="0" w:name="_Toc15377425"/>
      <w:bookmarkStart w:id="1" w:name="_Toc15378441"/>
      <w:bookmarkStart w:id="2" w:name="_Toc15377193"/>
      <w:bookmarkStart w:id="3" w:name="_Toc15396475"/>
      <w:bookmarkStart w:id="4" w:name="_Toc15396597"/>
      <w:bookmarkStart w:id="5" w:name="_Toc15306267"/>
    </w:p>
    <w:p>
      <w:pPr>
        <w:pageBreakBefore w:val="0"/>
        <w:kinsoku/>
        <w:wordWrap/>
        <w:overflowPunct/>
        <w:topLinePunct w:val="0"/>
        <w:bidi w:val="0"/>
        <w:spacing w:line="576" w:lineRule="exact"/>
        <w:jc w:val="center"/>
        <w:outlineLvl w:val="0"/>
        <w:rPr>
          <w:rFonts w:hint="default" w:ascii="Times New Roman" w:hAnsi="Times New Roman" w:eastAsia="方正小标宋简体" w:cs="Times New Roman"/>
          <w:sz w:val="72"/>
          <w:szCs w:val="72"/>
        </w:rPr>
      </w:pPr>
    </w:p>
    <w:p>
      <w:pPr>
        <w:pageBreakBefore w:val="0"/>
        <w:kinsoku/>
        <w:wordWrap/>
        <w:overflowPunct/>
        <w:topLinePunct w:val="0"/>
        <w:bidi w:val="0"/>
        <w:spacing w:line="576" w:lineRule="exact"/>
        <w:jc w:val="center"/>
        <w:outlineLvl w:val="0"/>
        <w:rPr>
          <w:rFonts w:hint="default" w:ascii="Times New Roman" w:hAnsi="Times New Roman" w:eastAsia="方正小标宋简体" w:cs="Times New Roman"/>
          <w:sz w:val="72"/>
          <w:szCs w:val="72"/>
        </w:rPr>
      </w:pPr>
    </w:p>
    <w:p>
      <w:pPr>
        <w:keepNext w:val="0"/>
        <w:keepLines w:val="0"/>
        <w:pageBreakBefore w:val="0"/>
        <w:kinsoku/>
        <w:wordWrap/>
        <w:overflowPunct/>
        <w:topLinePunct w:val="0"/>
        <w:autoSpaceDE/>
        <w:autoSpaceDN/>
        <w:bidi w:val="0"/>
        <w:spacing w:line="1200" w:lineRule="exact"/>
        <w:jc w:val="center"/>
        <w:textAlignment w:val="auto"/>
        <w:outlineLvl w:val="0"/>
        <w:rPr>
          <w:rFonts w:hint="default" w:ascii="Times New Roman" w:hAnsi="Times New Roman" w:eastAsia="方正小标宋简体" w:cs="Times New Roman"/>
          <w:sz w:val="72"/>
          <w:szCs w:val="72"/>
        </w:rPr>
      </w:pPr>
    </w:p>
    <w:p>
      <w:pPr>
        <w:keepNext w:val="0"/>
        <w:keepLines w:val="0"/>
        <w:pageBreakBefore w:val="0"/>
        <w:kinsoku/>
        <w:wordWrap/>
        <w:overflowPunct/>
        <w:topLinePunct w:val="0"/>
        <w:autoSpaceDE/>
        <w:autoSpaceDN/>
        <w:bidi w:val="0"/>
        <w:adjustRightInd w:val="0"/>
        <w:snapToGrid w:val="0"/>
        <w:spacing w:line="1200" w:lineRule="exact"/>
        <w:jc w:val="center"/>
        <w:textAlignment w:val="auto"/>
        <w:outlineLvl w:val="0"/>
        <w:rPr>
          <w:rFonts w:hint="default" w:ascii="Times New Roman" w:hAnsi="Times New Roman" w:eastAsia="方正小标宋简体" w:cs="Times New Roman"/>
          <w:sz w:val="72"/>
          <w:szCs w:val="72"/>
        </w:rPr>
      </w:pPr>
      <w:r>
        <w:rPr>
          <w:rFonts w:hint="default" w:ascii="Times New Roman" w:hAnsi="Times New Roman" w:eastAsia="方正小标宋简体" w:cs="Times New Roman"/>
          <w:sz w:val="72"/>
          <w:szCs w:val="72"/>
        </w:rPr>
        <w:t>2021年度</w:t>
      </w:r>
      <w:bookmarkEnd w:id="0"/>
      <w:bookmarkEnd w:id="1"/>
      <w:bookmarkEnd w:id="2"/>
      <w:bookmarkEnd w:id="3"/>
      <w:bookmarkEnd w:id="4"/>
    </w:p>
    <w:bookmarkEnd w:id="5"/>
    <w:p>
      <w:pPr>
        <w:keepNext w:val="0"/>
        <w:keepLines w:val="0"/>
        <w:pageBreakBefore w:val="0"/>
        <w:kinsoku/>
        <w:wordWrap/>
        <w:overflowPunct/>
        <w:topLinePunct w:val="0"/>
        <w:autoSpaceDE/>
        <w:autoSpaceDN/>
        <w:bidi w:val="0"/>
        <w:adjustRightInd w:val="0"/>
        <w:snapToGrid w:val="0"/>
        <w:spacing w:line="1200" w:lineRule="exact"/>
        <w:jc w:val="center"/>
        <w:textAlignment w:val="auto"/>
        <w:outlineLvl w:val="0"/>
        <w:rPr>
          <w:rFonts w:hint="default" w:ascii="Times New Roman" w:hAnsi="Times New Roman" w:eastAsia="方正小标宋简体" w:cs="Times New Roman"/>
          <w:color w:val="000000"/>
          <w:sz w:val="72"/>
          <w:szCs w:val="72"/>
        </w:rPr>
      </w:pPr>
      <w:bookmarkStart w:id="6" w:name="_Toc15377426"/>
      <w:bookmarkStart w:id="7" w:name="_Toc15378442"/>
      <w:bookmarkStart w:id="8" w:name="_Toc15396476"/>
      <w:bookmarkStart w:id="9" w:name="_Toc15306268"/>
      <w:bookmarkStart w:id="10" w:name="_Toc15396598"/>
      <w:bookmarkStart w:id="11" w:name="_Toc15377194"/>
      <w:r>
        <w:rPr>
          <w:rFonts w:hint="default" w:ascii="Times New Roman" w:hAnsi="Times New Roman" w:eastAsia="方正小标宋简体" w:cs="Times New Roman"/>
          <w:color w:val="000000"/>
          <w:sz w:val="72"/>
          <w:szCs w:val="72"/>
        </w:rPr>
        <w:t>巴中市归国华侨联合会</w:t>
      </w:r>
    </w:p>
    <w:p>
      <w:pPr>
        <w:keepNext w:val="0"/>
        <w:keepLines w:val="0"/>
        <w:pageBreakBefore w:val="0"/>
        <w:kinsoku/>
        <w:wordWrap/>
        <w:overflowPunct/>
        <w:topLinePunct w:val="0"/>
        <w:autoSpaceDE/>
        <w:autoSpaceDN/>
        <w:bidi w:val="0"/>
        <w:adjustRightInd w:val="0"/>
        <w:snapToGrid w:val="0"/>
        <w:spacing w:line="1200" w:lineRule="exact"/>
        <w:jc w:val="center"/>
        <w:textAlignment w:val="auto"/>
        <w:outlineLvl w:val="0"/>
        <w:rPr>
          <w:rFonts w:hint="default" w:ascii="Times New Roman" w:hAnsi="Times New Roman" w:eastAsia="方正小标宋简体" w:cs="Times New Roman"/>
          <w:color w:val="000000"/>
          <w:sz w:val="72"/>
          <w:szCs w:val="72"/>
        </w:rPr>
      </w:pPr>
      <w:r>
        <w:rPr>
          <w:rFonts w:hint="default" w:ascii="Times New Roman" w:hAnsi="Times New Roman" w:eastAsia="方正小标宋简体" w:cs="Times New Roman"/>
          <w:color w:val="000000"/>
          <w:sz w:val="72"/>
          <w:szCs w:val="72"/>
        </w:rPr>
        <w:t>部门决算</w:t>
      </w:r>
      <w:bookmarkEnd w:id="6"/>
      <w:bookmarkEnd w:id="7"/>
      <w:bookmarkEnd w:id="8"/>
      <w:bookmarkEnd w:id="9"/>
      <w:bookmarkEnd w:id="10"/>
      <w:bookmarkEnd w:id="11"/>
      <w:r>
        <w:rPr>
          <w:rFonts w:hint="default" w:ascii="Times New Roman" w:hAnsi="Times New Roman" w:eastAsia="方正小标宋简体" w:cs="Times New Roman"/>
          <w:color w:val="000000"/>
          <w:sz w:val="72"/>
          <w:szCs w:val="72"/>
        </w:rPr>
        <w:t>公开</w:t>
      </w:r>
    </w:p>
    <w:p>
      <w:pPr>
        <w:keepNext w:val="0"/>
        <w:keepLines w:val="0"/>
        <w:pageBreakBefore w:val="0"/>
        <w:widowControl/>
        <w:kinsoku/>
        <w:wordWrap/>
        <w:overflowPunct/>
        <w:topLinePunct w:val="0"/>
        <w:autoSpaceDE/>
        <w:autoSpaceDN/>
        <w:bidi w:val="0"/>
        <w:spacing w:line="1200" w:lineRule="exact"/>
        <w:jc w:val="center"/>
        <w:textAlignment w:val="auto"/>
        <w:rPr>
          <w:rFonts w:hint="default" w:ascii="Times New Roman" w:hAnsi="Times New Roman" w:eastAsia="黑体" w:cs="Times New Roman"/>
          <w:sz w:val="48"/>
          <w:szCs w:val="48"/>
        </w:rPr>
      </w:pPr>
      <w:r>
        <w:rPr>
          <w:rFonts w:hint="default" w:ascii="Times New Roman" w:hAnsi="Times New Roman" w:eastAsia="方正小标宋简体" w:cs="Times New Roman"/>
          <w:sz w:val="36"/>
          <w:szCs w:val="36"/>
        </w:rPr>
        <w:br w:type="page"/>
      </w:r>
      <w:r>
        <w:rPr>
          <w:rFonts w:hint="default" w:ascii="Times New Roman" w:hAnsi="Times New Roman" w:eastAsia="黑体" w:cs="Times New Roman"/>
          <w:sz w:val="48"/>
          <w:szCs w:val="48"/>
        </w:rPr>
        <w:t>目录</w:t>
      </w:r>
    </w:p>
    <w:p>
      <w:pPr>
        <w:pageBreakBefore w:val="0"/>
        <w:widowControl/>
        <w:kinsoku/>
        <w:wordWrap/>
        <w:overflowPunct/>
        <w:topLinePunct w:val="0"/>
        <w:bidi w:val="0"/>
        <w:spacing w:line="576" w:lineRule="exact"/>
        <w:jc w:val="center"/>
        <w:rPr>
          <w:rFonts w:hint="default" w:ascii="Times New Roman" w:hAnsi="Times New Roman" w:eastAsia="黑体" w:cs="Times New Roman"/>
          <w:sz w:val="28"/>
          <w:szCs w:val="28"/>
        </w:rPr>
      </w:pPr>
    </w:p>
    <w:p>
      <w:pPr>
        <w:pStyle w:val="10"/>
        <w:pageBreakBefore w:val="0"/>
        <w:kinsoku/>
        <w:wordWrap/>
        <w:overflowPunct/>
        <w:topLinePunct w:val="0"/>
        <w:bidi w:val="0"/>
        <w:spacing w:line="576" w:lineRule="exact"/>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公开时间</w:t>
      </w:r>
      <w:r>
        <w:rPr>
          <w:rFonts w:hint="default" w:ascii="Times New Roman" w:hAnsi="Times New Roman" w:cs="Times New Roman"/>
        </w:rPr>
        <w:t>：2022</w:t>
      </w:r>
      <w:r>
        <w:rPr>
          <w:rFonts w:hint="default" w:ascii="方正仿宋_GBK" w:hAnsi="方正仿宋_GBK" w:eastAsia="方正仿宋_GBK" w:cs="方正仿宋_GBK"/>
          <w:sz w:val="32"/>
          <w:szCs w:val="32"/>
        </w:rPr>
        <w:t>年</w:t>
      </w:r>
      <w:r>
        <w:rPr>
          <w:rFonts w:hint="default" w:ascii="Times New Roman" w:hAnsi="Times New Roman" w:cs="Times New Roman"/>
        </w:rPr>
        <w:t>10</w:t>
      </w:r>
      <w:r>
        <w:rPr>
          <w:rFonts w:hint="default" w:ascii="方正仿宋_GBK" w:hAnsi="方正仿宋_GBK" w:eastAsia="方正仿宋_GBK" w:cs="方正仿宋_GBK"/>
          <w:sz w:val="32"/>
          <w:szCs w:val="32"/>
        </w:rPr>
        <w:t>月</w:t>
      </w:r>
      <w:r>
        <w:rPr>
          <w:rFonts w:hint="default" w:ascii="Times New Roman" w:hAnsi="Times New Roman" w:cs="Times New Roman"/>
        </w:rPr>
        <w:t>13</w:t>
      </w:r>
      <w:r>
        <w:rPr>
          <w:rFonts w:hint="default" w:ascii="方正仿宋_GBK" w:hAnsi="方正仿宋_GBK" w:eastAsia="方正仿宋_GBK" w:cs="方正仿宋_GBK"/>
          <w:sz w:val="32"/>
          <w:szCs w:val="32"/>
        </w:rPr>
        <w:t>日</w:t>
      </w:r>
    </w:p>
    <w:p>
      <w:pPr>
        <w:pageBreakBefore w:val="0"/>
        <w:kinsoku/>
        <w:wordWrap/>
        <w:overflowPunct/>
        <w:topLinePunct w:val="0"/>
        <w:bidi w:val="0"/>
        <w:spacing w:line="576" w:lineRule="exact"/>
        <w:rPr>
          <w:rFonts w:hint="default" w:ascii="Times New Roman" w:hAnsi="Times New Roman" w:cs="Times New Roman"/>
        </w:rPr>
      </w:pPr>
    </w:p>
    <w:p>
      <w:pPr>
        <w:pStyle w:val="10"/>
        <w:pageBreakBefore w:val="0"/>
        <w:kinsoku/>
        <w:wordWrap/>
        <w:overflowPunct/>
        <w:topLinePunct w:val="0"/>
        <w:bidi w:val="0"/>
        <w:spacing w:line="576" w:lineRule="exact"/>
        <w:jc w:val="both"/>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第一部分 部门概况</w:t>
      </w:r>
    </w:p>
    <w:p>
      <w:pPr>
        <w:pStyle w:val="11"/>
        <w:pageBreakBefore w:val="0"/>
        <w:kinsoku/>
        <w:wordWrap/>
        <w:overflowPunct/>
        <w:topLinePunct w:val="0"/>
        <w:bidi w:val="0"/>
        <w:adjustRightInd w:val="0"/>
        <w:snapToGrid w:val="0"/>
        <w:spacing w:line="576" w:lineRule="exact"/>
        <w:jc w:val="left"/>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一、基本职能及主要工作</w:t>
      </w:r>
    </w:p>
    <w:p>
      <w:pPr>
        <w:pStyle w:val="11"/>
        <w:pageBreakBefore w:val="0"/>
        <w:kinsoku/>
        <w:wordWrap/>
        <w:overflowPunct/>
        <w:topLinePunct w:val="0"/>
        <w:bidi w:val="0"/>
        <w:adjustRightInd w:val="0"/>
        <w:snapToGrid w:val="0"/>
        <w:spacing w:line="576" w:lineRule="exact"/>
        <w:jc w:val="left"/>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二、机构设置</w:t>
      </w:r>
    </w:p>
    <w:p>
      <w:pPr>
        <w:pStyle w:val="10"/>
        <w:pageBreakBefore w:val="0"/>
        <w:kinsoku/>
        <w:wordWrap/>
        <w:overflowPunct/>
        <w:topLinePunct w:val="0"/>
        <w:bidi w:val="0"/>
        <w:spacing w:line="576" w:lineRule="exact"/>
        <w:jc w:val="both"/>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第二部分 2021年度部门决算情况说明</w:t>
      </w:r>
    </w:p>
    <w:p>
      <w:pPr>
        <w:pStyle w:val="11"/>
        <w:pageBreakBefore w:val="0"/>
        <w:kinsoku/>
        <w:wordWrap/>
        <w:overflowPunct/>
        <w:topLinePunct w:val="0"/>
        <w:bidi w:val="0"/>
        <w:adjustRightInd w:val="0"/>
        <w:snapToGrid w:val="0"/>
        <w:spacing w:line="576" w:lineRule="exact"/>
        <w:jc w:val="left"/>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一、收入支出决算总体情况说明</w:t>
      </w:r>
    </w:p>
    <w:p>
      <w:pPr>
        <w:pStyle w:val="11"/>
        <w:pageBreakBefore w:val="0"/>
        <w:kinsoku/>
        <w:wordWrap/>
        <w:overflowPunct/>
        <w:topLinePunct w:val="0"/>
        <w:bidi w:val="0"/>
        <w:adjustRightInd w:val="0"/>
        <w:snapToGrid w:val="0"/>
        <w:spacing w:line="576" w:lineRule="exact"/>
        <w:jc w:val="left"/>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二、收入决算情况说明</w:t>
      </w:r>
    </w:p>
    <w:p>
      <w:pPr>
        <w:pStyle w:val="11"/>
        <w:pageBreakBefore w:val="0"/>
        <w:kinsoku/>
        <w:wordWrap/>
        <w:overflowPunct/>
        <w:topLinePunct w:val="0"/>
        <w:bidi w:val="0"/>
        <w:adjustRightInd w:val="0"/>
        <w:snapToGrid w:val="0"/>
        <w:spacing w:line="576" w:lineRule="exact"/>
        <w:jc w:val="left"/>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三、支出决算情况说明</w:t>
      </w:r>
    </w:p>
    <w:p>
      <w:pPr>
        <w:pStyle w:val="11"/>
        <w:pageBreakBefore w:val="0"/>
        <w:kinsoku/>
        <w:wordWrap/>
        <w:overflowPunct/>
        <w:topLinePunct w:val="0"/>
        <w:bidi w:val="0"/>
        <w:adjustRightInd w:val="0"/>
        <w:snapToGrid w:val="0"/>
        <w:spacing w:line="576" w:lineRule="exact"/>
        <w:jc w:val="left"/>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四、财政拨款收入支出决算总体情况说明</w:t>
      </w:r>
    </w:p>
    <w:p>
      <w:pPr>
        <w:pStyle w:val="11"/>
        <w:pageBreakBefore w:val="0"/>
        <w:kinsoku/>
        <w:wordWrap/>
        <w:overflowPunct/>
        <w:topLinePunct w:val="0"/>
        <w:bidi w:val="0"/>
        <w:adjustRightInd w:val="0"/>
        <w:snapToGrid w:val="0"/>
        <w:spacing w:line="576" w:lineRule="exact"/>
        <w:jc w:val="left"/>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五、一般公共预算财政拨款支出决算情况说明</w:t>
      </w:r>
    </w:p>
    <w:p>
      <w:pPr>
        <w:pStyle w:val="11"/>
        <w:pageBreakBefore w:val="0"/>
        <w:kinsoku/>
        <w:wordWrap/>
        <w:overflowPunct/>
        <w:topLinePunct w:val="0"/>
        <w:bidi w:val="0"/>
        <w:adjustRightInd w:val="0"/>
        <w:snapToGrid w:val="0"/>
        <w:spacing w:line="576" w:lineRule="exact"/>
        <w:jc w:val="left"/>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六、一般公共预算财政拨款基本支出决算情况说明</w:t>
      </w:r>
    </w:p>
    <w:p>
      <w:pPr>
        <w:pStyle w:val="11"/>
        <w:pageBreakBefore w:val="0"/>
        <w:kinsoku/>
        <w:wordWrap/>
        <w:overflowPunct/>
        <w:topLinePunct w:val="0"/>
        <w:bidi w:val="0"/>
        <w:adjustRightInd w:val="0"/>
        <w:snapToGrid w:val="0"/>
        <w:spacing w:line="576" w:lineRule="exact"/>
        <w:jc w:val="left"/>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七、“三公”经费财政拨款支出决算情况说明</w:t>
      </w:r>
    </w:p>
    <w:p>
      <w:pPr>
        <w:pStyle w:val="11"/>
        <w:pageBreakBefore w:val="0"/>
        <w:kinsoku/>
        <w:wordWrap/>
        <w:overflowPunct/>
        <w:topLinePunct w:val="0"/>
        <w:bidi w:val="0"/>
        <w:adjustRightInd w:val="0"/>
        <w:snapToGrid w:val="0"/>
        <w:spacing w:line="576" w:lineRule="exact"/>
        <w:jc w:val="left"/>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八、政府性基金预算支出决算情况说明</w:t>
      </w:r>
    </w:p>
    <w:p>
      <w:pPr>
        <w:pStyle w:val="11"/>
        <w:pageBreakBefore w:val="0"/>
        <w:kinsoku/>
        <w:wordWrap/>
        <w:overflowPunct/>
        <w:topLinePunct w:val="0"/>
        <w:bidi w:val="0"/>
        <w:adjustRightInd w:val="0"/>
        <w:snapToGrid w:val="0"/>
        <w:spacing w:line="576" w:lineRule="exact"/>
        <w:jc w:val="left"/>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九、国有资本经营预算支出决算情况说明</w:t>
      </w:r>
    </w:p>
    <w:p>
      <w:pPr>
        <w:pStyle w:val="11"/>
        <w:pageBreakBefore w:val="0"/>
        <w:kinsoku/>
        <w:wordWrap/>
        <w:overflowPunct/>
        <w:topLinePunct w:val="0"/>
        <w:bidi w:val="0"/>
        <w:adjustRightInd w:val="0"/>
        <w:snapToGrid w:val="0"/>
        <w:spacing w:line="576" w:lineRule="exact"/>
        <w:jc w:val="left"/>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十、其他重要事项的情况说明</w:t>
      </w:r>
      <w:r>
        <w:rPr>
          <w:rFonts w:hint="default" w:ascii="方正楷体_GBK" w:hAnsi="方正楷体_GBK" w:eastAsia="方正楷体_GBK" w:cs="方正楷体_GBK"/>
          <w:sz w:val="32"/>
          <w:szCs w:val="32"/>
        </w:rPr>
        <w:tab/>
      </w:r>
    </w:p>
    <w:p>
      <w:pPr>
        <w:pStyle w:val="10"/>
        <w:pageBreakBefore w:val="0"/>
        <w:kinsoku/>
        <w:wordWrap/>
        <w:overflowPunct/>
        <w:topLinePunct w:val="0"/>
        <w:bidi w:val="0"/>
        <w:spacing w:line="576" w:lineRule="exact"/>
        <w:jc w:val="both"/>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第三部分 名词解释</w:t>
      </w:r>
    </w:p>
    <w:p>
      <w:pPr>
        <w:pStyle w:val="10"/>
        <w:pageBreakBefore w:val="0"/>
        <w:kinsoku/>
        <w:wordWrap/>
        <w:overflowPunct/>
        <w:topLinePunct w:val="0"/>
        <w:bidi w:val="0"/>
        <w:spacing w:line="576" w:lineRule="exact"/>
        <w:jc w:val="both"/>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第四部分 附件</w:t>
      </w:r>
    </w:p>
    <w:p>
      <w:pPr>
        <w:pStyle w:val="10"/>
        <w:pageBreakBefore w:val="0"/>
        <w:kinsoku/>
        <w:wordWrap/>
        <w:overflowPunct/>
        <w:topLinePunct w:val="0"/>
        <w:bidi w:val="0"/>
        <w:spacing w:line="576" w:lineRule="exact"/>
        <w:jc w:val="both"/>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第五部分 附表</w:t>
      </w:r>
    </w:p>
    <w:p>
      <w:pPr>
        <w:pStyle w:val="11"/>
        <w:pageBreakBefore w:val="0"/>
        <w:kinsoku/>
        <w:wordWrap/>
        <w:overflowPunct/>
        <w:topLinePunct w:val="0"/>
        <w:bidi w:val="0"/>
        <w:adjustRightInd w:val="0"/>
        <w:snapToGrid w:val="0"/>
        <w:spacing w:line="576" w:lineRule="exact"/>
        <w:jc w:val="left"/>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一、收入支出决算总表</w:t>
      </w:r>
    </w:p>
    <w:p>
      <w:pPr>
        <w:pStyle w:val="11"/>
        <w:pageBreakBefore w:val="0"/>
        <w:kinsoku/>
        <w:wordWrap/>
        <w:overflowPunct/>
        <w:topLinePunct w:val="0"/>
        <w:bidi w:val="0"/>
        <w:adjustRightInd w:val="0"/>
        <w:snapToGrid w:val="0"/>
        <w:spacing w:line="576" w:lineRule="exact"/>
        <w:jc w:val="left"/>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二、收入决算表</w:t>
      </w:r>
    </w:p>
    <w:p>
      <w:pPr>
        <w:pStyle w:val="11"/>
        <w:pageBreakBefore w:val="0"/>
        <w:kinsoku/>
        <w:wordWrap/>
        <w:overflowPunct/>
        <w:topLinePunct w:val="0"/>
        <w:bidi w:val="0"/>
        <w:adjustRightInd w:val="0"/>
        <w:snapToGrid w:val="0"/>
        <w:spacing w:line="576" w:lineRule="exact"/>
        <w:jc w:val="left"/>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三、支出决算表</w:t>
      </w:r>
    </w:p>
    <w:p>
      <w:pPr>
        <w:pStyle w:val="11"/>
        <w:pageBreakBefore w:val="0"/>
        <w:kinsoku/>
        <w:wordWrap/>
        <w:overflowPunct/>
        <w:topLinePunct w:val="0"/>
        <w:bidi w:val="0"/>
        <w:adjustRightInd w:val="0"/>
        <w:snapToGrid w:val="0"/>
        <w:spacing w:line="576" w:lineRule="exact"/>
        <w:jc w:val="left"/>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四、财政拨款收入支出决算总表</w:t>
      </w:r>
    </w:p>
    <w:p>
      <w:pPr>
        <w:pStyle w:val="11"/>
        <w:pageBreakBefore w:val="0"/>
        <w:kinsoku/>
        <w:wordWrap/>
        <w:overflowPunct/>
        <w:topLinePunct w:val="0"/>
        <w:bidi w:val="0"/>
        <w:adjustRightInd w:val="0"/>
        <w:snapToGrid w:val="0"/>
        <w:spacing w:line="576" w:lineRule="exact"/>
        <w:jc w:val="left"/>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五、财政拨款支出决算明细表</w:t>
      </w:r>
    </w:p>
    <w:p>
      <w:pPr>
        <w:pStyle w:val="11"/>
        <w:pageBreakBefore w:val="0"/>
        <w:kinsoku/>
        <w:wordWrap/>
        <w:overflowPunct/>
        <w:topLinePunct w:val="0"/>
        <w:bidi w:val="0"/>
        <w:adjustRightInd w:val="0"/>
        <w:snapToGrid w:val="0"/>
        <w:spacing w:line="576" w:lineRule="exact"/>
        <w:jc w:val="left"/>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六、一般公共预算财政拨款支出决算表</w:t>
      </w:r>
    </w:p>
    <w:p>
      <w:pPr>
        <w:pStyle w:val="11"/>
        <w:pageBreakBefore w:val="0"/>
        <w:kinsoku/>
        <w:wordWrap/>
        <w:overflowPunct/>
        <w:topLinePunct w:val="0"/>
        <w:bidi w:val="0"/>
        <w:adjustRightInd w:val="0"/>
        <w:snapToGrid w:val="0"/>
        <w:spacing w:line="576" w:lineRule="exact"/>
        <w:jc w:val="left"/>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七、一般公共预算财政拨款支出决算明细表</w:t>
      </w:r>
    </w:p>
    <w:p>
      <w:pPr>
        <w:pStyle w:val="11"/>
        <w:pageBreakBefore w:val="0"/>
        <w:kinsoku/>
        <w:wordWrap/>
        <w:overflowPunct/>
        <w:topLinePunct w:val="0"/>
        <w:bidi w:val="0"/>
        <w:adjustRightInd w:val="0"/>
        <w:snapToGrid w:val="0"/>
        <w:spacing w:line="576" w:lineRule="exact"/>
        <w:jc w:val="left"/>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八、一般公共预算财政拨款基本支出决算表</w:t>
      </w:r>
    </w:p>
    <w:p>
      <w:pPr>
        <w:pStyle w:val="11"/>
        <w:pageBreakBefore w:val="0"/>
        <w:kinsoku/>
        <w:wordWrap/>
        <w:overflowPunct/>
        <w:topLinePunct w:val="0"/>
        <w:bidi w:val="0"/>
        <w:adjustRightInd w:val="0"/>
        <w:snapToGrid w:val="0"/>
        <w:spacing w:line="576" w:lineRule="exact"/>
        <w:jc w:val="left"/>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九、一般公共预算财政拨款项目支出决算表</w:t>
      </w:r>
    </w:p>
    <w:p>
      <w:pPr>
        <w:pStyle w:val="11"/>
        <w:pageBreakBefore w:val="0"/>
        <w:kinsoku/>
        <w:wordWrap/>
        <w:overflowPunct/>
        <w:topLinePunct w:val="0"/>
        <w:bidi w:val="0"/>
        <w:adjustRightInd w:val="0"/>
        <w:snapToGrid w:val="0"/>
        <w:spacing w:line="576" w:lineRule="exact"/>
        <w:jc w:val="left"/>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十、一般公共预算财政拨款“三公”经费支出决算表</w:t>
      </w:r>
    </w:p>
    <w:p>
      <w:pPr>
        <w:pStyle w:val="11"/>
        <w:pageBreakBefore w:val="0"/>
        <w:kinsoku/>
        <w:wordWrap/>
        <w:overflowPunct/>
        <w:topLinePunct w:val="0"/>
        <w:bidi w:val="0"/>
        <w:adjustRightInd w:val="0"/>
        <w:snapToGrid w:val="0"/>
        <w:spacing w:line="576" w:lineRule="exact"/>
        <w:jc w:val="left"/>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十一、政府性基金预算财政拨款收入支出决算表</w:t>
      </w:r>
    </w:p>
    <w:p>
      <w:pPr>
        <w:pStyle w:val="11"/>
        <w:pageBreakBefore w:val="0"/>
        <w:kinsoku/>
        <w:wordWrap/>
        <w:overflowPunct/>
        <w:topLinePunct w:val="0"/>
        <w:bidi w:val="0"/>
        <w:adjustRightInd w:val="0"/>
        <w:snapToGrid w:val="0"/>
        <w:spacing w:line="576" w:lineRule="exact"/>
        <w:jc w:val="left"/>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十二、政府性基金预算财政拨款“三公”经费支出决算表</w:t>
      </w:r>
    </w:p>
    <w:p>
      <w:pPr>
        <w:pStyle w:val="11"/>
        <w:pageBreakBefore w:val="0"/>
        <w:kinsoku/>
        <w:wordWrap/>
        <w:overflowPunct/>
        <w:topLinePunct w:val="0"/>
        <w:bidi w:val="0"/>
        <w:adjustRightInd w:val="0"/>
        <w:snapToGrid w:val="0"/>
        <w:spacing w:line="576" w:lineRule="exact"/>
        <w:jc w:val="left"/>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十三、国有资本经营预算财政拨款收入支出决算表</w:t>
      </w:r>
    </w:p>
    <w:p>
      <w:pPr>
        <w:pStyle w:val="11"/>
        <w:pageBreakBefore w:val="0"/>
        <w:kinsoku/>
        <w:wordWrap/>
        <w:overflowPunct/>
        <w:topLinePunct w:val="0"/>
        <w:bidi w:val="0"/>
        <w:adjustRightInd w:val="0"/>
        <w:snapToGrid w:val="0"/>
        <w:spacing w:line="576" w:lineRule="exact"/>
        <w:jc w:val="left"/>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十四、国有资本经营预算财政拨款支出决算表</w:t>
      </w:r>
    </w:p>
    <w:p>
      <w:pPr>
        <w:pStyle w:val="11"/>
        <w:pageBreakBefore w:val="0"/>
        <w:kinsoku/>
        <w:wordWrap/>
        <w:overflowPunct/>
        <w:topLinePunct w:val="0"/>
        <w:bidi w:val="0"/>
        <w:adjustRightInd w:val="0"/>
        <w:snapToGrid w:val="0"/>
        <w:spacing w:line="576" w:lineRule="exact"/>
        <w:jc w:val="left"/>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(注：请部门根据实际注明页码)</w:t>
      </w:r>
    </w:p>
    <w:p>
      <w:pPr>
        <w:pageBreakBefore w:val="0"/>
        <w:widowControl/>
        <w:kinsoku/>
        <w:wordWrap/>
        <w:overflowPunct/>
        <w:topLinePunct w:val="0"/>
        <w:bidi w:val="0"/>
        <w:spacing w:line="576" w:lineRule="exact"/>
        <w:jc w:val="left"/>
        <w:rPr>
          <w:rFonts w:hint="default" w:ascii="Times New Roman" w:hAnsi="Times New Roman" w:eastAsia="仿宋" w:cs="Times New Roman"/>
          <w:bCs/>
          <w:kern w:val="44"/>
          <w:sz w:val="24"/>
        </w:rPr>
      </w:pPr>
      <w:bookmarkStart w:id="12" w:name="_Toc15396599"/>
      <w:bookmarkStart w:id="13" w:name="_Toc15377196"/>
      <w:r>
        <w:rPr>
          <w:rFonts w:hint="default" w:ascii="Times New Roman" w:hAnsi="Times New Roman" w:eastAsia="仿宋" w:cs="Times New Roman"/>
          <w:b/>
          <w:sz w:val="24"/>
        </w:rPr>
        <w:br w:type="page"/>
      </w:r>
      <w:bookmarkStart w:id="71" w:name="_GoBack"/>
      <w:bookmarkEnd w:id="71"/>
    </w:p>
    <w:p>
      <w:pPr>
        <w:pStyle w:val="3"/>
        <w:pageBreakBefore w:val="0"/>
        <w:kinsoku/>
        <w:wordWrap/>
        <w:overflowPunct/>
        <w:topLinePunct w:val="0"/>
        <w:bidi w:val="0"/>
        <w:spacing w:line="576" w:lineRule="exact"/>
        <w:jc w:val="center"/>
        <w:rPr>
          <w:rStyle w:val="24"/>
          <w:rFonts w:hint="default" w:ascii="Times New Roman" w:hAnsi="Times New Roman" w:eastAsia="黑体" w:cs="Times New Roman"/>
          <w:b/>
          <w:bCs w:val="0"/>
        </w:rPr>
      </w:pPr>
      <w:r>
        <w:rPr>
          <w:rFonts w:hint="default" w:ascii="Times New Roman" w:hAnsi="Times New Roman" w:eastAsia="黑体" w:cs="Times New Roman"/>
          <w:b w:val="0"/>
        </w:rPr>
        <w:t xml:space="preserve">第一部分 </w:t>
      </w:r>
      <w:r>
        <w:rPr>
          <w:rStyle w:val="24"/>
          <w:rFonts w:hint="default" w:ascii="Times New Roman" w:hAnsi="Times New Roman" w:eastAsia="黑体" w:cs="Times New Roman"/>
          <w:b w:val="0"/>
          <w:bCs w:val="0"/>
        </w:rPr>
        <w:t>部门概况</w:t>
      </w:r>
      <w:bookmarkEnd w:id="12"/>
      <w:bookmarkEnd w:id="13"/>
    </w:p>
    <w:p>
      <w:pPr>
        <w:pageBreakBefore w:val="0"/>
        <w:widowControl/>
        <w:kinsoku/>
        <w:wordWrap/>
        <w:overflowPunct/>
        <w:topLinePunct w:val="0"/>
        <w:bidi w:val="0"/>
        <w:spacing w:line="576" w:lineRule="exact"/>
        <w:jc w:val="left"/>
        <w:rPr>
          <w:rFonts w:hint="default" w:ascii="Times New Roman" w:hAnsi="Times New Roman" w:eastAsia="黑体" w:cs="Times New Roman"/>
          <w:sz w:val="32"/>
          <w:szCs w:val="32"/>
        </w:rPr>
      </w:pPr>
    </w:p>
    <w:p>
      <w:pPr>
        <w:pStyle w:val="4"/>
        <w:pageBreakBefore w:val="0"/>
        <w:kinsoku/>
        <w:wordWrap/>
        <w:overflowPunct/>
        <w:topLinePunct w:val="0"/>
        <w:bidi w:val="0"/>
        <w:spacing w:line="576" w:lineRule="exact"/>
        <w:rPr>
          <w:rStyle w:val="25"/>
          <w:rFonts w:hint="default" w:ascii="Times New Roman" w:hAnsi="Times New Roman" w:eastAsia="仿宋" w:cs="Times New Roman"/>
          <w:b w:val="0"/>
          <w:bCs w:val="0"/>
        </w:rPr>
      </w:pPr>
      <w:bookmarkStart w:id="14" w:name="_Toc15396600"/>
      <w:bookmarkStart w:id="15" w:name="_Toc15377197"/>
      <w:r>
        <w:rPr>
          <w:rFonts w:hint="default" w:ascii="Times New Roman" w:hAnsi="Times New Roman" w:eastAsia="黑体" w:cs="Times New Roman"/>
          <w:b w:val="0"/>
        </w:rPr>
        <w:t>一、基</w:t>
      </w:r>
      <w:r>
        <w:rPr>
          <w:rStyle w:val="25"/>
          <w:rFonts w:hint="default" w:ascii="Times New Roman" w:hAnsi="Times New Roman" w:eastAsia="黑体" w:cs="Times New Roman"/>
          <w:b w:val="0"/>
          <w:bCs w:val="0"/>
        </w:rPr>
        <w:t>本职能及主要工作</w:t>
      </w:r>
      <w:bookmarkEnd w:id="14"/>
      <w:bookmarkEnd w:id="15"/>
    </w:p>
    <w:p>
      <w:pPr>
        <w:pStyle w:val="2"/>
        <w:pageBreakBefore w:val="0"/>
        <w:kinsoku/>
        <w:wordWrap/>
        <w:overflowPunct/>
        <w:topLinePunct w:val="0"/>
        <w:bidi w:val="0"/>
        <w:adjustRightInd w:val="0"/>
        <w:snapToGrid w:val="0"/>
        <w:spacing w:before="93" w:line="576" w:lineRule="exact"/>
        <w:ind w:firstLine="672" w:firstLineChars="210"/>
        <w:outlineLvl w:val="2"/>
        <w:rPr>
          <w:rFonts w:hint="default" w:ascii="Times New Roman" w:hAnsi="Times New Roman" w:eastAsia="仿宋" w:cs="Times New Roman"/>
          <w:bCs/>
          <w:color w:val="000000"/>
          <w:sz w:val="32"/>
          <w:szCs w:val="32"/>
        </w:rPr>
      </w:pPr>
      <w:bookmarkStart w:id="16" w:name="_Toc15377198"/>
      <w:bookmarkStart w:id="17" w:name="_Toc15378445"/>
      <w:bookmarkStart w:id="18" w:name="_Toc15377200"/>
      <w:bookmarkStart w:id="19" w:name="_Toc15396601"/>
      <w:r>
        <w:rPr>
          <w:rFonts w:hint="default" w:ascii="Times New Roman" w:hAnsi="Times New Roman" w:eastAsia="仿宋" w:cs="Times New Roman"/>
          <w:bCs/>
          <w:color w:val="000000"/>
          <w:sz w:val="32"/>
          <w:szCs w:val="32"/>
        </w:rPr>
        <w:t>（一）</w:t>
      </w:r>
      <w:r>
        <w:rPr>
          <w:rFonts w:hint="default" w:ascii="Times New Roman" w:hAnsi="Times New Roman" w:eastAsia="方正仿宋_GBK" w:cs="Times New Roman"/>
          <w:b/>
          <w:spacing w:val="6"/>
          <w:kern w:val="2"/>
          <w:sz w:val="32"/>
          <w:szCs w:val="32"/>
          <w:lang w:val="en-US" w:eastAsia="zh-CN" w:bidi="ar-SA"/>
        </w:rPr>
        <w:t>主要职能</w:t>
      </w:r>
      <w:r>
        <w:rPr>
          <w:rFonts w:hint="default" w:ascii="Times New Roman" w:hAnsi="Times New Roman" w:eastAsia="仿宋" w:cs="Times New Roman"/>
          <w:bCs/>
          <w:color w:val="000000"/>
          <w:sz w:val="32"/>
          <w:szCs w:val="32"/>
        </w:rPr>
        <w:t>。（职能参照省政府批准的三定方案）</w:t>
      </w:r>
      <w:bookmarkEnd w:id="16"/>
      <w:bookmarkEnd w:id="17"/>
    </w:p>
    <w:p>
      <w:pPr>
        <w:pageBreakBefore w:val="0"/>
        <w:kinsoku/>
        <w:wordWrap/>
        <w:overflowPunct/>
        <w:topLinePunct w:val="0"/>
        <w:bidi w:val="0"/>
        <w:spacing w:line="576" w:lineRule="exact"/>
        <w:ind w:firstLine="664" w:firstLineChars="200"/>
        <w:rPr>
          <w:rFonts w:hint="default" w:ascii="Times New Roman" w:hAnsi="Times New Roman" w:eastAsia="方正仿宋_GBK" w:cs="Times New Roman"/>
          <w:spacing w:val="6"/>
          <w:sz w:val="32"/>
          <w:szCs w:val="32"/>
        </w:rPr>
      </w:pPr>
      <w:r>
        <w:rPr>
          <w:rFonts w:hint="default" w:ascii="Times New Roman" w:hAnsi="Times New Roman" w:eastAsia="方正仿宋_GBK" w:cs="Times New Roman"/>
          <w:spacing w:val="6"/>
          <w:sz w:val="32"/>
          <w:szCs w:val="32"/>
        </w:rPr>
        <w:t>巴中市归国华侨联合会是市委领导的由归侨侨眷组成的人民团体，依法按照《中华全国归国华侨联合会章程》独立自主开展工作，为参照公务员法管理的正县级事业单位。</w:t>
      </w:r>
    </w:p>
    <w:p>
      <w:pPr>
        <w:pageBreakBefore w:val="0"/>
        <w:kinsoku/>
        <w:wordWrap/>
        <w:overflowPunct/>
        <w:topLinePunct w:val="0"/>
        <w:bidi w:val="0"/>
        <w:spacing w:line="576" w:lineRule="exact"/>
        <w:ind w:firstLine="656" w:firstLineChars="197"/>
        <w:rPr>
          <w:rFonts w:hint="default" w:ascii="Times New Roman" w:hAnsi="Times New Roman" w:cs="Times New Roman"/>
        </w:rPr>
      </w:pPr>
      <w:r>
        <w:rPr>
          <w:rFonts w:hint="default" w:ascii="Times New Roman" w:hAnsi="Times New Roman" w:eastAsia="方正仿宋_GBK" w:cs="Times New Roman"/>
          <w:b/>
          <w:spacing w:val="6"/>
          <w:sz w:val="32"/>
          <w:szCs w:val="32"/>
        </w:rPr>
        <w:t>主要职责：</w:t>
      </w:r>
      <w:r>
        <w:rPr>
          <w:rFonts w:hint="default" w:ascii="Times New Roman" w:hAnsi="Times New Roman" w:eastAsia="方正仿宋_GBK" w:cs="Times New Roman"/>
          <w:spacing w:val="6"/>
          <w:sz w:val="32"/>
          <w:szCs w:val="32"/>
        </w:rPr>
        <w:t>服务全市经济社会发展，为归侨、侨眷兴办企事业和海外侨胞来巴中投资及合作交流服务；维护广大归侨、侨眷的合法权益和海外侨胞的正当权益，做好护侨助侨工作；履行参政议政职能；拓展海内外联谊，促进与海外侨胞进行经济、科技、文化等方面的合作交流。</w:t>
      </w:r>
    </w:p>
    <w:p>
      <w:pPr>
        <w:pStyle w:val="2"/>
        <w:pageBreakBefore w:val="0"/>
        <w:kinsoku/>
        <w:wordWrap/>
        <w:overflowPunct/>
        <w:topLinePunct w:val="0"/>
        <w:bidi w:val="0"/>
        <w:spacing w:line="576" w:lineRule="exact"/>
        <w:ind w:firstLine="640" w:firstLineChars="200"/>
        <w:rPr>
          <w:rFonts w:hint="default" w:ascii="Times New Roman" w:hAnsi="Times New Roman" w:eastAsia="仿宋" w:cs="Times New Roman"/>
          <w:bCs/>
          <w:color w:val="auto"/>
          <w:sz w:val="32"/>
          <w:szCs w:val="32"/>
          <w:highlight w:val="none"/>
        </w:rPr>
      </w:pPr>
      <w:r>
        <w:rPr>
          <w:rFonts w:hint="default" w:ascii="Times New Roman" w:hAnsi="Times New Roman" w:eastAsia="仿宋" w:cs="Times New Roman"/>
          <w:bCs/>
          <w:color w:val="000000"/>
          <w:sz w:val="32"/>
          <w:szCs w:val="32"/>
          <w:lang w:val="en-US" w:eastAsia="zh-CN"/>
        </w:rPr>
        <w:t>(二）</w:t>
      </w:r>
      <w:r>
        <w:rPr>
          <w:rFonts w:hint="default" w:ascii="Times New Roman" w:hAnsi="Times New Roman" w:eastAsia="方正仿宋_GBK" w:cs="Times New Roman"/>
          <w:b/>
          <w:spacing w:val="6"/>
          <w:kern w:val="2"/>
          <w:sz w:val="32"/>
          <w:szCs w:val="32"/>
          <w:lang w:val="en-US" w:eastAsia="zh-CN" w:bidi="ar-SA"/>
        </w:rPr>
        <w:t>2021年重点工作完成情况</w:t>
      </w:r>
      <w:r>
        <w:rPr>
          <w:rFonts w:hint="default" w:ascii="Times New Roman" w:hAnsi="Times New Roman" w:eastAsia="仿宋" w:cs="Times New Roman"/>
          <w:bCs/>
          <w:color w:val="auto"/>
          <w:sz w:val="32"/>
          <w:szCs w:val="32"/>
          <w:highlight w:val="none"/>
        </w:rPr>
        <w:t>。</w:t>
      </w:r>
    </w:p>
    <w:p>
      <w:pPr>
        <w:pageBreakBefore w:val="0"/>
        <w:kinsoku/>
        <w:wordWrap/>
        <w:overflowPunct/>
        <w:topLinePunct w:val="0"/>
        <w:bidi w:val="0"/>
        <w:spacing w:line="576"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2021年，巴中市侨联在市委的坚强领导下</w:t>
      </w:r>
      <w:r>
        <w:rPr>
          <w:rFonts w:hint="default" w:ascii="Times New Roman" w:hAnsi="Times New Roman" w:eastAsia="方正仿宋_GBK" w:cs="Times New Roman"/>
          <w:sz w:val="32"/>
          <w:szCs w:val="32"/>
        </w:rPr>
        <w:t>和省侨联倾情指导下</w:t>
      </w:r>
      <w:r>
        <w:rPr>
          <w:rFonts w:hint="default" w:ascii="Times New Roman" w:hAnsi="Times New Roman" w:eastAsia="方正仿宋_GBK" w:cs="Times New Roman"/>
          <w:sz w:val="32"/>
          <w:szCs w:val="32"/>
        </w:rPr>
        <w:t>，锐意进取，奋力拼搏，团结和引领全市侨界齐心协力办实事，聚精会神促提升，赢得社会各界一致好评。</w:t>
      </w:r>
    </w:p>
    <w:p>
      <w:pPr>
        <w:pageBreakBefore w:val="0"/>
        <w:kinsoku/>
        <w:wordWrap/>
        <w:overflowPunct/>
        <w:topLinePunct w:val="0"/>
        <w:bidi w:val="0"/>
        <w:spacing w:line="576"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强化党史学习教育，提升政治站位。</w:t>
      </w:r>
      <w:r>
        <w:rPr>
          <w:rFonts w:hint="default" w:ascii="Times New Roman" w:hAnsi="Times New Roman" w:eastAsia="方正仿宋_GBK" w:cs="Times New Roman"/>
          <w:b/>
          <w:sz w:val="32"/>
          <w:szCs w:val="32"/>
        </w:rPr>
        <w:t>一是</w:t>
      </w:r>
      <w:r>
        <w:rPr>
          <w:rFonts w:hint="default" w:ascii="Times New Roman" w:hAnsi="Times New Roman" w:eastAsia="方正仿宋_GBK" w:cs="Times New Roman"/>
          <w:sz w:val="32"/>
          <w:szCs w:val="32"/>
        </w:rPr>
        <w:t>按照市委统一安排部署，先后召开了党员领导干部民主生活会、党风廉政建设专题会、民主评议党员暨组织生活会等，教育引导党员干部增强“四个意识”、坚定“四个自信”、做到“两个维护”。</w:t>
      </w:r>
      <w:r>
        <w:rPr>
          <w:rFonts w:hint="default" w:ascii="Times New Roman" w:hAnsi="Times New Roman" w:eastAsia="方正仿宋_GBK" w:cs="Times New Roman"/>
          <w:b/>
          <w:sz w:val="32"/>
          <w:szCs w:val="32"/>
        </w:rPr>
        <w:t>二是</w:t>
      </w:r>
      <w:r>
        <w:rPr>
          <w:rFonts w:hint="default" w:ascii="Times New Roman" w:hAnsi="Times New Roman" w:eastAsia="方正仿宋_GBK" w:cs="Times New Roman"/>
          <w:sz w:val="32"/>
          <w:szCs w:val="32"/>
        </w:rPr>
        <w:t>通过党组会、中心组学习会、干部职工会等，扎实开展党史学习教育。组织开展了为期一个月的“庆建党百年华诞</w:t>
      </w:r>
      <w:r>
        <w:rPr>
          <w:rFonts w:hint="default" w:ascii="Times New Roman" w:hAnsi="Times New Roman" w:cs="Times New Roman"/>
          <w:sz w:val="32"/>
          <w:szCs w:val="32"/>
        </w:rPr>
        <w:t>•</w:t>
      </w:r>
      <w:r>
        <w:rPr>
          <w:rFonts w:hint="default" w:ascii="Times New Roman" w:hAnsi="Times New Roman" w:eastAsia="方正仿宋_GBK" w:cs="Times New Roman"/>
          <w:sz w:val="32"/>
          <w:szCs w:val="32"/>
        </w:rPr>
        <w:t>经典诵读感党恩”活动，推动党员干部学史爱党，学史爱国。</w:t>
      </w:r>
      <w:r>
        <w:rPr>
          <w:rFonts w:hint="default" w:ascii="Times New Roman" w:hAnsi="Times New Roman" w:eastAsia="方正仿宋_GBK" w:cs="Times New Roman"/>
          <w:b/>
          <w:sz w:val="32"/>
          <w:szCs w:val="32"/>
        </w:rPr>
        <w:t>三是</w:t>
      </w:r>
      <w:r>
        <w:rPr>
          <w:rFonts w:hint="default" w:ascii="Times New Roman" w:hAnsi="Times New Roman" w:eastAsia="方正仿宋_GBK" w:cs="Times New Roman"/>
          <w:sz w:val="32"/>
          <w:szCs w:val="32"/>
        </w:rPr>
        <w:t>以常态化开展不忘初心、牢记使命主题教育为抓手，组织机关党支部、市侨商会党支部、四川天府银行巴中分行党支部60余名党员到空山战役遗址、王坪烈士陵园开展“主体党日”活动，学党史、悟思想、办实事、开新局。</w:t>
      </w:r>
      <w:r>
        <w:rPr>
          <w:rFonts w:hint="default" w:ascii="Times New Roman" w:hAnsi="Times New Roman" w:eastAsia="方正仿宋_GBK" w:cs="Times New Roman"/>
          <w:b/>
          <w:sz w:val="32"/>
          <w:szCs w:val="32"/>
        </w:rPr>
        <w:t>四是</w:t>
      </w:r>
      <w:r>
        <w:rPr>
          <w:rFonts w:hint="default" w:ascii="Times New Roman" w:hAnsi="Times New Roman" w:eastAsia="方正仿宋_GBK" w:cs="Times New Roman"/>
          <w:sz w:val="32"/>
          <w:szCs w:val="32"/>
        </w:rPr>
        <w:t>召开了市侨联三届六次全委会，学习贯彻中央和省委、市委重大决策部署，引领全市侨界感党恩、听党话、跟党走，同圆共享中国梦。</w:t>
      </w:r>
      <w:r>
        <w:rPr>
          <w:rFonts w:hint="default" w:ascii="Times New Roman" w:hAnsi="Times New Roman" w:eastAsia="方正仿宋_GBK" w:cs="Times New Roman"/>
          <w:b/>
          <w:sz w:val="32"/>
          <w:szCs w:val="32"/>
        </w:rPr>
        <w:t>五是</w:t>
      </w:r>
      <w:r>
        <w:rPr>
          <w:rFonts w:hint="default" w:ascii="Times New Roman" w:hAnsi="Times New Roman" w:eastAsia="方正仿宋_GBK" w:cs="Times New Roman"/>
          <w:sz w:val="32"/>
          <w:szCs w:val="32"/>
        </w:rPr>
        <w:t>组织了全市侨界60余名干部群众开展了“侨心永向党</w:t>
      </w:r>
      <w:r>
        <w:rPr>
          <w:rFonts w:hint="default" w:ascii="Times New Roman" w:hAnsi="Times New Roman" w:cs="Times New Roman"/>
          <w:sz w:val="32"/>
          <w:szCs w:val="32"/>
        </w:rPr>
        <w:t>•</w:t>
      </w:r>
      <w:r>
        <w:rPr>
          <w:rFonts w:hint="default" w:ascii="Times New Roman" w:hAnsi="Times New Roman" w:eastAsia="方正仿宋_GBK" w:cs="Times New Roman"/>
          <w:sz w:val="32"/>
          <w:szCs w:val="32"/>
        </w:rPr>
        <w:t>奋斗新征程”庆祝建党100周年系列活动，看变化、谈感受、凝侨力、助发展，拍摄了“颂歌献给党”MTV两首参加全省侨联系统评选，荣获二等奖。</w:t>
      </w:r>
    </w:p>
    <w:p>
      <w:pPr>
        <w:pageBreakBefore w:val="0"/>
        <w:kinsoku/>
        <w:wordWrap/>
        <w:overflowPunct/>
        <w:topLinePunct w:val="0"/>
        <w:bidi w:val="0"/>
        <w:spacing w:line="576"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Times New Roman" w:hAnsi="Times New Roman" w:eastAsia="方正楷体_GBK" w:cs="Times New Roman"/>
          <w:sz w:val="32"/>
          <w:szCs w:val="32"/>
        </w:rPr>
        <w:t>发挥侨联独特优势，助推开放合作。</w:t>
      </w:r>
      <w:r>
        <w:rPr>
          <w:rFonts w:hint="default" w:ascii="Times New Roman" w:hAnsi="Times New Roman" w:eastAsia="方正仿宋_GBK" w:cs="Times New Roman"/>
          <w:b/>
          <w:sz w:val="32"/>
          <w:szCs w:val="32"/>
        </w:rPr>
        <w:t>一是</w:t>
      </w:r>
      <w:r>
        <w:rPr>
          <w:rFonts w:hint="default" w:ascii="Times New Roman" w:hAnsi="Times New Roman" w:eastAsia="方正仿宋_GBK" w:cs="Times New Roman"/>
          <w:sz w:val="32"/>
          <w:szCs w:val="32"/>
        </w:rPr>
        <w:t>认真落实市委讲好巴中故事，争取政策支持要求部署，积极争取全国政协委员、中国侨联副主席、省侨联党组书记、主席刘以勤在全国“两会”提交了《关于加大力度支持川陕革命老区核心区高质量发展的建议》的提案，2021年9月3日国家发改委商中组部、生态环境部、农业农村部、能源局书面答复了刘以勤委员，从六个方面给予巴中支持，这是刘以勤委员连续三年通过全国“两会”提交提案支持巴中发展。</w:t>
      </w:r>
      <w:r>
        <w:rPr>
          <w:rFonts w:hint="default" w:ascii="Times New Roman" w:hAnsi="Times New Roman" w:eastAsia="方正仿宋_GBK" w:cs="Times New Roman"/>
          <w:b/>
          <w:sz w:val="32"/>
          <w:szCs w:val="32"/>
        </w:rPr>
        <w:t>二是</w:t>
      </w:r>
      <w:r>
        <w:rPr>
          <w:rFonts w:hint="default" w:ascii="Times New Roman" w:hAnsi="Times New Roman" w:eastAsia="方正仿宋_GBK" w:cs="Times New Roman"/>
          <w:sz w:val="32"/>
          <w:szCs w:val="32"/>
        </w:rPr>
        <w:t>成功举办了“追梦中华</w:t>
      </w:r>
      <w:r>
        <w:rPr>
          <w:rFonts w:hint="default" w:ascii="Times New Roman" w:hAnsi="Times New Roman" w:cs="Times New Roman"/>
          <w:sz w:val="32"/>
          <w:szCs w:val="32"/>
        </w:rPr>
        <w:t>•</w:t>
      </w:r>
      <w:r>
        <w:rPr>
          <w:rFonts w:hint="default" w:ascii="Times New Roman" w:hAnsi="Times New Roman" w:eastAsia="方正仿宋_GBK" w:cs="Times New Roman"/>
          <w:sz w:val="32"/>
          <w:szCs w:val="32"/>
        </w:rPr>
        <w:t>感知川渝”2021海外华文媒体四川采访行活动。来自新华社、光明日报、人民政协报社、美国华兴报、英国卫报、澳大利亚华夏传媒、香港中外新闻社、马来西亚海外传媒等10个国家和地区的11位海外华文媒体代表及4位中央媒体记者先后深入恩阳古镇、黄石国际旅游度假区项目工地、巴中规划馆、晏阳初博士史迹展览馆、川陕革命根据地红军烈士陵园等地实地采风，撰写新闻稿件100余篇发往世界各地，其中光明日报《青山有幸埋忠骨，一颗红星耀中华》、人民政协网《王坪：一个军礼为红军》等新闻稿在海内外华人圈引起巨大反响，提升了巴中的知名度和影响力。</w:t>
      </w:r>
      <w:r>
        <w:rPr>
          <w:rFonts w:hint="default" w:ascii="Times New Roman" w:hAnsi="Times New Roman" w:eastAsia="方正仿宋_GBK" w:cs="Times New Roman"/>
          <w:b/>
          <w:sz w:val="32"/>
          <w:szCs w:val="32"/>
        </w:rPr>
        <w:t>三是</w:t>
      </w:r>
      <w:r>
        <w:rPr>
          <w:rFonts w:hint="default" w:ascii="Times New Roman" w:hAnsi="Times New Roman" w:eastAsia="方正仿宋_GBK" w:cs="Times New Roman"/>
          <w:sz w:val="32"/>
          <w:szCs w:val="32"/>
        </w:rPr>
        <w:t>加强巴渝两地侨联协作，组织区县侨联及巴山天香花椒、秦巴茗兰科技、四川远鸿小角楼酒业等赴重庆市大渡口区侨联开展协作对接工作，积极融入成渝地区双城经济圈建设。</w:t>
      </w:r>
      <w:r>
        <w:rPr>
          <w:rFonts w:hint="default" w:ascii="Times New Roman" w:hAnsi="Times New Roman" w:eastAsia="方正仿宋_GBK" w:cs="Times New Roman"/>
          <w:b/>
          <w:sz w:val="32"/>
          <w:szCs w:val="32"/>
        </w:rPr>
        <w:t>四是</w:t>
      </w:r>
      <w:r>
        <w:rPr>
          <w:rFonts w:hint="default" w:ascii="Times New Roman" w:hAnsi="Times New Roman" w:eastAsia="方正仿宋_GBK" w:cs="Times New Roman"/>
          <w:sz w:val="32"/>
          <w:szCs w:val="32"/>
        </w:rPr>
        <w:t>整合市级部门和区县资源，编制招商引资项目，广泛宣传推介，通过以侨招商、以商招商等方式，引进台资企业恩得利电子来巴考察，目前正在跟踪对接，力争电子生产线项目落户巴中。</w:t>
      </w:r>
      <w:r>
        <w:rPr>
          <w:rFonts w:hint="default" w:ascii="Times New Roman" w:hAnsi="Times New Roman" w:eastAsia="方正仿宋_GBK" w:cs="Times New Roman"/>
          <w:b/>
          <w:sz w:val="32"/>
          <w:szCs w:val="32"/>
        </w:rPr>
        <w:t>五是</w:t>
      </w:r>
      <w:r>
        <w:rPr>
          <w:rFonts w:hint="default" w:ascii="Times New Roman" w:hAnsi="Times New Roman" w:eastAsia="方正仿宋_GBK" w:cs="Times New Roman"/>
          <w:sz w:val="32"/>
          <w:szCs w:val="32"/>
        </w:rPr>
        <w:t>积极推动巴中市侨商会常务副会长单位巴中市晏阳初文化传媒有限公司投资拍摄晏阳初博士专题电影《平教之路》举办了开机仪式，并完成电影拍摄工作，全力推动尽快上映。</w:t>
      </w:r>
    </w:p>
    <w:p>
      <w:pPr>
        <w:pageBreakBefore w:val="0"/>
        <w:kinsoku/>
        <w:wordWrap/>
        <w:overflowPunct/>
        <w:topLinePunct w:val="0"/>
        <w:bidi w:val="0"/>
        <w:spacing w:line="576"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Times New Roman" w:hAnsi="Times New Roman" w:eastAsia="方正楷体_GBK" w:cs="Times New Roman"/>
          <w:sz w:val="32"/>
          <w:szCs w:val="32"/>
        </w:rPr>
        <w:t>始终坚持以侨为本，倾情维护侨益。</w:t>
      </w:r>
      <w:r>
        <w:rPr>
          <w:rFonts w:hint="default" w:ascii="Times New Roman" w:hAnsi="Times New Roman" w:eastAsia="方正仿宋_GBK" w:cs="Times New Roman"/>
          <w:b/>
          <w:sz w:val="32"/>
          <w:szCs w:val="32"/>
        </w:rPr>
        <w:t>一是</w:t>
      </w:r>
      <w:r>
        <w:rPr>
          <w:rFonts w:hint="default" w:ascii="Times New Roman" w:hAnsi="Times New Roman" w:eastAsia="方正仿宋_GBK" w:cs="Times New Roman"/>
          <w:sz w:val="32"/>
          <w:szCs w:val="32"/>
        </w:rPr>
        <w:t>坚持专班推进、精准帮扶的原则，今年来，组织恩阳区和相关单位先后7次深入黄石国际旅游度假区建设工地，帮助解决了展示中心路口硬化、湿地公园规划、户型调整等问题，助推项目加快建设。</w:t>
      </w:r>
      <w:r>
        <w:rPr>
          <w:rFonts w:hint="default" w:ascii="Times New Roman" w:hAnsi="Times New Roman" w:eastAsia="方正仿宋_GBK" w:cs="Times New Roman"/>
          <w:b/>
          <w:sz w:val="32"/>
          <w:szCs w:val="32"/>
        </w:rPr>
        <w:t>二是</w:t>
      </w:r>
      <w:r>
        <w:rPr>
          <w:rFonts w:hint="default" w:ascii="Times New Roman" w:hAnsi="Times New Roman" w:eastAsia="方正仿宋_GBK" w:cs="Times New Roman"/>
          <w:sz w:val="32"/>
          <w:szCs w:val="32"/>
        </w:rPr>
        <w:t>扎实开展“我为群众办实事”活动，先后深入四川学仕兰图、四川唯鸿、四川川台缘、巴中棠湖、青田侨乡进口商品城等侨资企业调研指导，帮助企业解决生产经营、市场拓展、政策兑现等问题，助推高质量发展。</w:t>
      </w:r>
      <w:r>
        <w:rPr>
          <w:rFonts w:hint="default" w:ascii="Times New Roman" w:hAnsi="Times New Roman" w:eastAsia="方正仿宋_GBK" w:cs="Times New Roman"/>
          <w:b/>
          <w:sz w:val="32"/>
          <w:szCs w:val="32"/>
        </w:rPr>
        <w:t>三是</w:t>
      </w:r>
      <w:r>
        <w:rPr>
          <w:rFonts w:hint="default" w:ascii="Times New Roman" w:hAnsi="Times New Roman" w:eastAsia="方正仿宋_GBK" w:cs="Times New Roman"/>
          <w:sz w:val="32"/>
          <w:szCs w:val="32"/>
        </w:rPr>
        <w:t>积极组织市、县（区）侨界人大代表、政协委员视察调研，在今年“两会”上提交议案、提案30余件，高效参政议政，贡献了侨联智慧，展现了侨联风采，提升了侨联影响。</w:t>
      </w:r>
      <w:r>
        <w:rPr>
          <w:rFonts w:hint="default" w:ascii="Times New Roman" w:hAnsi="Times New Roman" w:eastAsia="方正仿宋_GBK" w:cs="Times New Roman"/>
          <w:b/>
          <w:sz w:val="32"/>
          <w:szCs w:val="32"/>
        </w:rPr>
        <w:t>四是</w:t>
      </w:r>
      <w:r>
        <w:rPr>
          <w:rFonts w:hint="default" w:ascii="Times New Roman" w:hAnsi="Times New Roman" w:eastAsia="方正仿宋_GBK" w:cs="Times New Roman"/>
          <w:sz w:val="32"/>
          <w:szCs w:val="32"/>
        </w:rPr>
        <w:t>整合资金50余万元实施“四个必访”，在元旦、春节期间开展了“访侨情</w:t>
      </w:r>
      <w:r>
        <w:rPr>
          <w:rFonts w:hint="default" w:ascii="Times New Roman" w:hAnsi="Times New Roman" w:cs="Times New Roman"/>
          <w:sz w:val="32"/>
          <w:szCs w:val="32"/>
        </w:rPr>
        <w:t>•</w:t>
      </w:r>
      <w:r>
        <w:rPr>
          <w:rFonts w:hint="default" w:ascii="Times New Roman" w:hAnsi="Times New Roman" w:eastAsia="方正仿宋_GBK" w:cs="Times New Roman"/>
          <w:sz w:val="32"/>
          <w:szCs w:val="32"/>
        </w:rPr>
        <w:t>暖侨心”系列活动，走访慰问社会各界群众1000余人次，送去了党和政府的关心关怀。</w:t>
      </w:r>
    </w:p>
    <w:p>
      <w:pPr>
        <w:pageBreakBefore w:val="0"/>
        <w:kinsoku/>
        <w:wordWrap/>
        <w:overflowPunct/>
        <w:topLinePunct w:val="0"/>
        <w:bidi w:val="0"/>
        <w:spacing w:line="576"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Times New Roman" w:hAnsi="Times New Roman" w:eastAsia="方正楷体_GBK" w:cs="Times New Roman"/>
          <w:sz w:val="32"/>
          <w:szCs w:val="32"/>
        </w:rPr>
        <w:t>整合侨界资源力量，参与社会治理。</w:t>
      </w:r>
      <w:r>
        <w:rPr>
          <w:rFonts w:hint="default" w:ascii="Times New Roman" w:hAnsi="Times New Roman" w:eastAsia="方正仿宋_GBK" w:cs="Times New Roman"/>
          <w:b/>
          <w:sz w:val="32"/>
          <w:szCs w:val="32"/>
        </w:rPr>
        <w:t>一是</w:t>
      </w:r>
      <w:r>
        <w:rPr>
          <w:rFonts w:hint="default" w:ascii="Times New Roman" w:hAnsi="Times New Roman" w:eastAsia="方正仿宋_GBK" w:cs="Times New Roman"/>
          <w:sz w:val="32"/>
          <w:szCs w:val="32"/>
        </w:rPr>
        <w:t>争取到香港明发集团向巴中市烈属关爱基金捐资50万元，帮助解决烈属生产发展实际困难，</w:t>
      </w:r>
      <w:r>
        <w:rPr>
          <w:rFonts w:hint="default" w:ascii="Times New Roman" w:hAnsi="Times New Roman" w:eastAsia="方正仿宋_GBK" w:cs="Times New Roman"/>
          <w:sz w:val="32"/>
          <w:szCs w:val="32"/>
        </w:rPr>
        <w:t>受到</w:t>
      </w:r>
      <w:r>
        <w:rPr>
          <w:rFonts w:hint="default" w:ascii="Times New Roman" w:hAnsi="Times New Roman" w:eastAsia="方正仿宋_GBK" w:cs="Times New Roman"/>
          <w:sz w:val="32"/>
          <w:szCs w:val="32"/>
        </w:rPr>
        <w:t>广大烈属高度认可。</w:t>
      </w:r>
      <w:r>
        <w:rPr>
          <w:rFonts w:hint="default" w:ascii="Times New Roman" w:hAnsi="Times New Roman" w:eastAsia="方正仿宋_GBK" w:cs="Times New Roman"/>
          <w:b/>
          <w:sz w:val="32"/>
          <w:szCs w:val="32"/>
        </w:rPr>
        <w:t>二是</w:t>
      </w:r>
      <w:r>
        <w:rPr>
          <w:rFonts w:hint="default" w:ascii="Times New Roman" w:hAnsi="Times New Roman" w:eastAsia="方正仿宋_GBK" w:cs="Times New Roman"/>
          <w:sz w:val="32"/>
          <w:szCs w:val="32"/>
        </w:rPr>
        <w:t>争取到浙江爱心教育基金会每年捐资37.5万元，在巴中中学连续举办了十二期“珍珠班”，帮助1000余名“家庭特困、成绩特优”的寒门学子考上理想大学，目前，第十三期“珍珠班”招生工作正在有序推进。</w:t>
      </w:r>
      <w:r>
        <w:rPr>
          <w:rFonts w:hint="default" w:ascii="Times New Roman" w:hAnsi="Times New Roman" w:eastAsia="方正仿宋_GBK" w:cs="Times New Roman"/>
          <w:b/>
          <w:sz w:val="32"/>
          <w:szCs w:val="32"/>
        </w:rPr>
        <w:t>三是</w:t>
      </w:r>
      <w:r>
        <w:rPr>
          <w:rFonts w:hint="default" w:ascii="Times New Roman" w:hAnsi="Times New Roman" w:eastAsia="方正仿宋_GBK" w:cs="Times New Roman"/>
          <w:sz w:val="32"/>
          <w:szCs w:val="32"/>
        </w:rPr>
        <w:t>争取到北京市侨联、北京市华侨事业基金会、致公党北京市委“京侨爱心助学基金”捐助50万元资助全市440名困难师生。</w:t>
      </w:r>
      <w:r>
        <w:rPr>
          <w:rFonts w:hint="default" w:ascii="Times New Roman" w:hAnsi="Times New Roman" w:eastAsia="方正仿宋_GBK" w:cs="Times New Roman"/>
          <w:b/>
          <w:sz w:val="32"/>
          <w:szCs w:val="32"/>
        </w:rPr>
        <w:t>四是</w:t>
      </w:r>
      <w:r>
        <w:rPr>
          <w:rFonts w:hint="default" w:ascii="Times New Roman" w:hAnsi="Times New Roman" w:eastAsia="方正仿宋_GBK" w:cs="Times New Roman"/>
          <w:sz w:val="32"/>
          <w:szCs w:val="32"/>
        </w:rPr>
        <w:t>认真落实侨联改革方案，在川东北率先建成第一个社区侨联—恩阳区渔溪镇和平场社区侨联，延伸了服务手臂。</w:t>
      </w:r>
      <w:r>
        <w:rPr>
          <w:rFonts w:hint="default" w:ascii="Times New Roman" w:hAnsi="Times New Roman" w:eastAsia="方正仿宋_GBK" w:cs="Times New Roman"/>
          <w:b/>
          <w:sz w:val="32"/>
          <w:szCs w:val="32"/>
        </w:rPr>
        <w:t>五</w:t>
      </w:r>
      <w:r>
        <w:rPr>
          <w:rFonts w:hint="default" w:ascii="Times New Roman" w:hAnsi="Times New Roman" w:eastAsia="方正仿宋_GBK" w:cs="Times New Roman"/>
          <w:b/>
          <w:sz w:val="32"/>
          <w:szCs w:val="32"/>
        </w:rPr>
        <w:t>是</w:t>
      </w:r>
      <w:r>
        <w:rPr>
          <w:rFonts w:hint="default" w:ascii="Times New Roman" w:hAnsi="Times New Roman" w:eastAsia="方正仿宋_GBK" w:cs="Times New Roman"/>
          <w:sz w:val="32"/>
          <w:szCs w:val="32"/>
        </w:rPr>
        <w:t>按照高质量建设、高标准管理、高成效运行要求，推动区县高标准建成“侨胞之家”5个，得到广大侨眷一致认可。</w:t>
      </w:r>
      <w:r>
        <w:rPr>
          <w:rFonts w:hint="default" w:ascii="Times New Roman" w:hAnsi="Times New Roman" w:eastAsia="方正仿宋_GBK" w:cs="Times New Roman"/>
          <w:b/>
          <w:sz w:val="32"/>
          <w:szCs w:val="32"/>
        </w:rPr>
        <w:t>六</w:t>
      </w:r>
      <w:r>
        <w:rPr>
          <w:rFonts w:hint="default" w:ascii="Times New Roman" w:hAnsi="Times New Roman" w:eastAsia="方正仿宋_GBK" w:cs="Times New Roman"/>
          <w:b/>
          <w:sz w:val="32"/>
          <w:szCs w:val="32"/>
        </w:rPr>
        <w:t>是</w:t>
      </w:r>
      <w:r>
        <w:rPr>
          <w:rFonts w:hint="default" w:ascii="Times New Roman" w:hAnsi="Times New Roman" w:eastAsia="方正仿宋_GBK" w:cs="Times New Roman"/>
          <w:sz w:val="32"/>
          <w:szCs w:val="32"/>
        </w:rPr>
        <w:t>成立专班，建立机制，支持经费，帮助恩阳区义阳社区抓实做好“创文”工作。</w:t>
      </w:r>
      <w:r>
        <w:rPr>
          <w:rFonts w:hint="default" w:ascii="Times New Roman" w:hAnsi="Times New Roman" w:eastAsia="方正仿宋_GBK" w:cs="Times New Roman"/>
          <w:b/>
          <w:sz w:val="32"/>
          <w:szCs w:val="32"/>
        </w:rPr>
        <w:t>七</w:t>
      </w:r>
      <w:r>
        <w:rPr>
          <w:rFonts w:hint="default" w:ascii="Times New Roman" w:hAnsi="Times New Roman" w:eastAsia="方正仿宋_GBK" w:cs="Times New Roman"/>
          <w:b/>
          <w:sz w:val="32"/>
          <w:szCs w:val="32"/>
        </w:rPr>
        <w:t>是</w:t>
      </w:r>
      <w:r>
        <w:rPr>
          <w:rFonts w:hint="default" w:ascii="Times New Roman" w:hAnsi="Times New Roman" w:eastAsia="方正仿宋_GBK" w:cs="Times New Roman"/>
          <w:sz w:val="32"/>
          <w:szCs w:val="32"/>
        </w:rPr>
        <w:t>按照“四不摘”要求，扎实开展“回头看”“回头帮”，接续脱贫成效，促进乡村振兴，市侨联挂包村被评为省级乡村振兴示范村。</w:t>
      </w:r>
    </w:p>
    <w:p>
      <w:pPr>
        <w:pageBreakBefore w:val="0"/>
        <w:kinsoku/>
        <w:wordWrap/>
        <w:overflowPunct/>
        <w:topLinePunct w:val="0"/>
        <w:bidi w:val="0"/>
        <w:spacing w:line="576" w:lineRule="exact"/>
        <w:rPr>
          <w:rFonts w:hint="default" w:ascii="Times New Roman" w:hAnsi="Times New Roman" w:eastAsia="仿宋" w:cs="Times New Roman"/>
          <w:bCs/>
          <w:color w:val="auto"/>
          <w:sz w:val="32"/>
          <w:szCs w:val="32"/>
          <w:highlight w:val="none"/>
        </w:rPr>
      </w:pPr>
      <w:r>
        <w:rPr>
          <w:rFonts w:hint="default" w:ascii="Times New Roman" w:hAnsi="Times New Roman" w:eastAsia="方正仿宋_GBK" w:cs="Times New Roman"/>
          <w:sz w:val="32"/>
          <w:szCs w:val="32"/>
        </w:rPr>
        <w:t>　　</w:t>
      </w:r>
      <w:r>
        <w:rPr>
          <w:rFonts w:hint="default" w:ascii="Times New Roman" w:hAnsi="Times New Roman" w:eastAsia="方正楷体_GBK" w:cs="Times New Roman"/>
          <w:sz w:val="32"/>
          <w:szCs w:val="32"/>
        </w:rPr>
        <w:t>坚持从严管党治侨，营造一流环境。</w:t>
      </w:r>
      <w:r>
        <w:rPr>
          <w:rFonts w:hint="default" w:ascii="Times New Roman" w:hAnsi="Times New Roman" w:eastAsia="方正仿宋_GBK" w:cs="Times New Roman"/>
          <w:b/>
          <w:sz w:val="32"/>
          <w:szCs w:val="32"/>
        </w:rPr>
        <w:t>一是</w:t>
      </w:r>
      <w:r>
        <w:rPr>
          <w:rFonts w:hint="default" w:ascii="Times New Roman" w:hAnsi="Times New Roman" w:eastAsia="方正仿宋_GBK" w:cs="Times New Roman"/>
          <w:sz w:val="32"/>
          <w:szCs w:val="32"/>
        </w:rPr>
        <w:t>认真学习贯彻市委“讲真话、做实事、去繁冗，有情怀、扬激情、反颓废”“十八字”要求，深入自检、认真践行，铸就严实作风。</w:t>
      </w:r>
      <w:r>
        <w:rPr>
          <w:rFonts w:hint="default" w:ascii="Times New Roman" w:hAnsi="Times New Roman" w:eastAsia="方正仿宋_GBK" w:cs="Times New Roman"/>
          <w:b/>
          <w:sz w:val="32"/>
          <w:szCs w:val="32"/>
        </w:rPr>
        <w:t>二是</w:t>
      </w:r>
      <w:r>
        <w:rPr>
          <w:rFonts w:hint="default" w:ascii="Times New Roman" w:hAnsi="Times New Roman" w:eastAsia="方正仿宋_GBK" w:cs="Times New Roman"/>
          <w:sz w:val="32"/>
          <w:szCs w:val="32"/>
        </w:rPr>
        <w:t>扛实扛牢党风廉政建设</w:t>
      </w:r>
      <w:r>
        <w:rPr>
          <w:rFonts w:hint="default" w:ascii="Times New Roman" w:hAnsi="Times New Roman" w:eastAsia="方正仿宋_GBK" w:cs="Times New Roman"/>
          <w:sz w:val="32"/>
          <w:szCs w:val="32"/>
          <w:lang w:val="ru-RU" w:eastAsia="ru-RU"/>
        </w:rPr>
        <w:t>“主体责任”、第一责任人责任和“一岗双责”责任，坚持制度管人管事，加强谈心谈话，强化“喊醒教育”，营造风清气正环境。</w:t>
      </w:r>
      <w:r>
        <w:rPr>
          <w:rFonts w:hint="default" w:ascii="Times New Roman" w:hAnsi="Times New Roman" w:eastAsia="方正仿宋_GBK" w:cs="Times New Roman"/>
          <w:b/>
          <w:sz w:val="32"/>
          <w:szCs w:val="32"/>
          <w:lang w:val="ru-RU" w:eastAsia="ru-RU"/>
        </w:rPr>
        <w:t>三是</w:t>
      </w:r>
      <w:r>
        <w:rPr>
          <w:rFonts w:hint="default" w:ascii="Times New Roman" w:hAnsi="Times New Roman" w:eastAsia="方正仿宋_GBK" w:cs="Times New Roman"/>
          <w:sz w:val="32"/>
          <w:szCs w:val="32"/>
          <w:lang w:val="ru-RU" w:eastAsia="ru-RU"/>
        </w:rPr>
        <w:t>抓实做好以侨情普查、为侨服务、开放合作为重点的全市侨联系统“七个一”工作</w:t>
      </w:r>
      <w:r>
        <w:rPr>
          <w:rFonts w:hint="default" w:ascii="Times New Roman" w:hAnsi="Times New Roman" w:eastAsia="方正仿宋_GBK" w:cs="Times New Roman"/>
          <w:sz w:val="32"/>
          <w:szCs w:val="32"/>
        </w:rPr>
        <w:t>，推动整体工作提质增效。</w:t>
      </w:r>
      <w:r>
        <w:rPr>
          <w:rFonts w:hint="default" w:ascii="Times New Roman" w:hAnsi="Times New Roman" w:eastAsia="方正仿宋_GBK" w:cs="Times New Roman"/>
          <w:b/>
          <w:sz w:val="32"/>
          <w:szCs w:val="32"/>
        </w:rPr>
        <w:t>四是</w:t>
      </w:r>
      <w:r>
        <w:rPr>
          <w:rFonts w:hint="default" w:ascii="Times New Roman" w:hAnsi="Times New Roman" w:eastAsia="方正仿宋_GBK" w:cs="Times New Roman"/>
          <w:sz w:val="32"/>
          <w:szCs w:val="32"/>
        </w:rPr>
        <w:t>认真落实基层减负要求，彻底整治形式主义、官僚主义，不断提升侨联党员干部服务大局、服务侨界的能力和水平。</w:t>
      </w:r>
    </w:p>
    <w:p>
      <w:pPr>
        <w:pStyle w:val="4"/>
        <w:pageBreakBefore w:val="0"/>
        <w:kinsoku/>
        <w:wordWrap/>
        <w:overflowPunct/>
        <w:topLinePunct w:val="0"/>
        <w:bidi w:val="0"/>
        <w:spacing w:line="576" w:lineRule="exact"/>
        <w:rPr>
          <w:rStyle w:val="25"/>
          <w:rFonts w:hint="default" w:ascii="Times New Roman" w:hAnsi="Times New Roman" w:cs="Times New Roman"/>
          <w:b w:val="0"/>
          <w:bCs w:val="0"/>
        </w:rPr>
      </w:pPr>
      <w:r>
        <w:rPr>
          <w:rFonts w:hint="default" w:ascii="Times New Roman" w:hAnsi="Times New Roman" w:eastAsia="黑体" w:cs="Times New Roman"/>
          <w:b w:val="0"/>
        </w:rPr>
        <w:t>二、</w:t>
      </w:r>
      <w:r>
        <w:rPr>
          <w:rFonts w:hint="default" w:ascii="Times New Roman" w:hAnsi="Times New Roman" w:eastAsia="黑体" w:cs="Times New Roman"/>
          <w:b w:val="0"/>
        </w:rPr>
        <w:t>机</w:t>
      </w:r>
      <w:r>
        <w:rPr>
          <w:rStyle w:val="25"/>
          <w:rFonts w:hint="default" w:ascii="Times New Roman" w:hAnsi="Times New Roman" w:eastAsia="黑体" w:cs="Times New Roman"/>
          <w:b w:val="0"/>
          <w:bCs w:val="0"/>
        </w:rPr>
        <w:t>构设置</w:t>
      </w:r>
      <w:bookmarkEnd w:id="18"/>
      <w:bookmarkEnd w:id="19"/>
    </w:p>
    <w:p>
      <w:pPr>
        <w:pageBreakBefore w:val="0"/>
        <w:kinsoku/>
        <w:wordWrap/>
        <w:overflowPunct/>
        <w:topLinePunct w:val="0"/>
        <w:bidi w:val="0"/>
        <w:spacing w:line="576" w:lineRule="exact"/>
        <w:ind w:firstLine="664" w:firstLineChars="200"/>
        <w:rPr>
          <w:rFonts w:hint="default" w:ascii="Times New Roman" w:hAnsi="Times New Roman" w:eastAsia="仿宋" w:cs="Times New Roman"/>
          <w:sz w:val="32"/>
          <w:szCs w:val="32"/>
        </w:rPr>
      </w:pPr>
      <w:r>
        <w:rPr>
          <w:rFonts w:hint="default" w:ascii="Times New Roman" w:hAnsi="Times New Roman" w:eastAsia="方正仿宋_GBK" w:cs="Times New Roman"/>
          <w:spacing w:val="6"/>
          <w:sz w:val="32"/>
          <w:szCs w:val="32"/>
        </w:rPr>
        <w:t>我会是参照公务员法管理的正县级事业单位，无下属事业单位。</w:t>
      </w:r>
    </w:p>
    <w:p>
      <w:pPr>
        <w:pageBreakBefore w:val="0"/>
        <w:widowControl/>
        <w:kinsoku/>
        <w:wordWrap/>
        <w:overflowPunct/>
        <w:topLinePunct w:val="0"/>
        <w:bidi w:val="0"/>
        <w:spacing w:line="576" w:lineRule="exact"/>
        <w:jc w:val="left"/>
        <w:rPr>
          <w:rFonts w:hint="default" w:ascii="Times New Roman" w:hAnsi="Times New Roman" w:eastAsia="仿宋" w:cs="Times New Roman"/>
          <w:kern w:val="0"/>
          <w:sz w:val="32"/>
          <w:szCs w:val="32"/>
        </w:rPr>
      </w:pPr>
      <w:r>
        <w:rPr>
          <w:rFonts w:hint="default" w:ascii="Times New Roman" w:hAnsi="Times New Roman" w:eastAsia="仿宋" w:cs="Times New Roman"/>
          <w:sz w:val="32"/>
          <w:szCs w:val="32"/>
        </w:rPr>
        <w:br w:type="page"/>
      </w:r>
    </w:p>
    <w:p>
      <w:pPr>
        <w:pStyle w:val="3"/>
        <w:pageBreakBefore w:val="0"/>
        <w:kinsoku/>
        <w:wordWrap/>
        <w:overflowPunct/>
        <w:topLinePunct w:val="0"/>
        <w:bidi w:val="0"/>
        <w:spacing w:line="576" w:lineRule="exact"/>
        <w:ind w:right="440"/>
        <w:jc w:val="center"/>
        <w:rPr>
          <w:rStyle w:val="24"/>
          <w:rFonts w:hint="default" w:ascii="Times New Roman" w:hAnsi="Times New Roman" w:eastAsia="黑体" w:cs="Times New Roman"/>
          <w:b w:val="0"/>
          <w:bCs/>
        </w:rPr>
      </w:pPr>
      <w:bookmarkStart w:id="20" w:name="_Toc15377204"/>
      <w:bookmarkStart w:id="21" w:name="_Toc15396602"/>
      <w:r>
        <w:rPr>
          <w:rFonts w:hint="default" w:ascii="Times New Roman" w:hAnsi="Times New Roman" w:eastAsia="黑体" w:cs="Times New Roman"/>
          <w:b w:val="0"/>
        </w:rPr>
        <w:t>第二部分 2021年度</w:t>
      </w:r>
      <w:r>
        <w:rPr>
          <w:rStyle w:val="24"/>
          <w:rFonts w:hint="default" w:ascii="Times New Roman" w:hAnsi="Times New Roman" w:eastAsia="黑体" w:cs="Times New Roman"/>
          <w:b w:val="0"/>
          <w:bCs/>
        </w:rPr>
        <w:t>部门决算情况说明</w:t>
      </w:r>
      <w:bookmarkEnd w:id="20"/>
      <w:bookmarkEnd w:id="21"/>
    </w:p>
    <w:p>
      <w:pPr>
        <w:pageBreakBefore w:val="0"/>
        <w:kinsoku/>
        <w:wordWrap/>
        <w:overflowPunct/>
        <w:topLinePunct w:val="0"/>
        <w:bidi w:val="0"/>
        <w:spacing w:line="576" w:lineRule="exact"/>
        <w:rPr>
          <w:rFonts w:hint="default" w:ascii="Times New Roman" w:hAnsi="Times New Roman" w:cs="Times New Roman"/>
        </w:rPr>
      </w:pPr>
    </w:p>
    <w:p>
      <w:pPr>
        <w:pStyle w:val="23"/>
        <w:pageBreakBefore w:val="0"/>
        <w:numPr>
          <w:ilvl w:val="0"/>
          <w:numId w:val="1"/>
        </w:numPr>
        <w:kinsoku/>
        <w:wordWrap/>
        <w:overflowPunct/>
        <w:topLinePunct w:val="0"/>
        <w:bidi w:val="0"/>
        <w:spacing w:line="576" w:lineRule="exact"/>
        <w:ind w:firstLineChars="0"/>
        <w:outlineLvl w:val="1"/>
        <w:rPr>
          <w:rStyle w:val="25"/>
          <w:rFonts w:hint="default" w:ascii="Times New Roman" w:hAnsi="Times New Roman" w:eastAsia="黑体" w:cs="Times New Roman"/>
          <w:b w:val="0"/>
        </w:rPr>
      </w:pPr>
      <w:bookmarkStart w:id="22" w:name="_Toc15377205"/>
      <w:bookmarkStart w:id="23" w:name="_Toc15396603"/>
      <w:r>
        <w:rPr>
          <w:rFonts w:hint="default" w:ascii="Times New Roman" w:hAnsi="Times New Roman" w:eastAsia="黑体" w:cs="Times New Roman"/>
          <w:sz w:val="32"/>
          <w:szCs w:val="32"/>
        </w:rPr>
        <w:t>收</w:t>
      </w:r>
      <w:r>
        <w:rPr>
          <w:rStyle w:val="25"/>
          <w:rFonts w:hint="default" w:ascii="Times New Roman" w:hAnsi="Times New Roman" w:eastAsia="黑体" w:cs="Times New Roman"/>
          <w:b w:val="0"/>
        </w:rPr>
        <w:t>入支出决算总体情况说明</w:t>
      </w:r>
      <w:bookmarkEnd w:id="22"/>
      <w:bookmarkEnd w:id="23"/>
    </w:p>
    <w:p>
      <w:pPr>
        <w:pageBreakBefore w:val="0"/>
        <w:kinsoku/>
        <w:wordWrap/>
        <w:overflowPunct/>
        <w:topLinePunct w:val="0"/>
        <w:bidi w:val="0"/>
        <w:spacing w:line="576"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2021年度收入总计</w:t>
      </w:r>
      <w:r>
        <w:rPr>
          <w:rFonts w:hint="default" w:ascii="Times New Roman" w:hAnsi="Times New Roman" w:eastAsia="仿宋" w:cs="Times New Roman"/>
          <w:sz w:val="32"/>
          <w:szCs w:val="32"/>
        </w:rPr>
        <w:t>205.5</w:t>
      </w:r>
      <w:r>
        <w:rPr>
          <w:rFonts w:hint="default" w:ascii="Times New Roman" w:hAnsi="Times New Roman" w:eastAsia="仿宋" w:cs="Times New Roman"/>
          <w:sz w:val="32"/>
          <w:szCs w:val="32"/>
        </w:rPr>
        <w:t>万元、支出总计</w:t>
      </w:r>
      <w:r>
        <w:rPr>
          <w:rFonts w:hint="default" w:ascii="Times New Roman" w:hAnsi="Times New Roman" w:eastAsia="仿宋" w:cs="Times New Roman"/>
          <w:sz w:val="32"/>
          <w:szCs w:val="32"/>
        </w:rPr>
        <w:t>209.64</w:t>
      </w:r>
      <w:r>
        <w:rPr>
          <w:rFonts w:hint="default" w:ascii="Times New Roman" w:hAnsi="Times New Roman" w:eastAsia="仿宋" w:cs="Times New Roman"/>
          <w:sz w:val="32"/>
          <w:szCs w:val="32"/>
        </w:rPr>
        <w:t>万元。与2020年相比，收入减少1.31万元、支出总计各增加0.14万元，收入下降0.63</w:t>
      </w:r>
      <w:r>
        <w:rPr>
          <w:rFonts w:hint="default" w:ascii="Times New Roman" w:hAnsi="Times New Roman" w:eastAsia="仿宋" w:cs="Times New Roman"/>
          <w:sz w:val="32"/>
          <w:szCs w:val="32"/>
        </w:rPr>
        <w:t>%，支出</w:t>
      </w:r>
      <w:r>
        <w:rPr>
          <w:rFonts w:hint="default" w:ascii="Times New Roman" w:hAnsi="Times New Roman" w:eastAsia="仿宋" w:cs="Times New Roman"/>
          <w:sz w:val="32"/>
          <w:szCs w:val="32"/>
        </w:rPr>
        <w:t>增长0.07%。主要变动原因是厉行节约。</w:t>
      </w:r>
    </w:p>
    <w:p>
      <w:pPr>
        <w:pageBreakBefore w:val="0"/>
        <w:kinsoku/>
        <w:wordWrap/>
        <w:overflowPunct/>
        <w:topLinePunct w:val="0"/>
        <w:bidi w:val="0"/>
        <w:spacing w:line="576" w:lineRule="exact"/>
        <w:ind w:firstLine="640" w:firstLineChars="200"/>
        <w:rPr>
          <w:rFonts w:hint="default" w:ascii="Times New Roman" w:hAnsi="Times New Roman" w:cs="Times New Roman"/>
        </w:rPr>
      </w:pPr>
      <w:r>
        <w:rPr>
          <w:rFonts w:hint="default" w:ascii="Times New Roman" w:hAnsi="Times New Roman" w:eastAsia="仿宋" w:cs="Times New Roman"/>
          <w:sz w:val="32"/>
          <w:szCs w:val="32"/>
        </w:rPr>
        <w:t>（图</w:t>
      </w:r>
      <w:r>
        <w:rPr>
          <w:rFonts w:hint="default" w:ascii="Times New Roman" w:hAnsi="Times New Roman" w:eastAsia="仿宋" w:cs="Times New Roman"/>
          <w:sz w:val="32"/>
          <w:szCs w:val="32"/>
        </w:rPr>
        <w:t>1</w:t>
      </w:r>
      <w:r>
        <w:rPr>
          <w:rFonts w:hint="default" w:ascii="Times New Roman" w:hAnsi="Times New Roman" w:eastAsia="仿宋" w:cs="Times New Roman"/>
          <w:sz w:val="32"/>
          <w:szCs w:val="32"/>
        </w:rPr>
        <w:t>：收、支决算总计变动情况图）（柱状图）</w:t>
      </w:r>
    </w:p>
    <w:p>
      <w:pPr>
        <w:pStyle w:val="6"/>
        <w:bidi w:val="0"/>
        <w:rPr>
          <w:rFonts w:hint="default"/>
        </w:rPr>
      </w:pPr>
      <w:r>
        <w:rPr>
          <w:rFonts w:hint="default"/>
        </w:rPr>
        <w:drawing>
          <wp:inline distT="0" distB="0" distL="0" distR="0">
            <wp:extent cx="4572000" cy="274320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23"/>
        <w:pageBreakBefore w:val="0"/>
        <w:numPr>
          <w:ilvl w:val="0"/>
          <w:numId w:val="1"/>
        </w:numPr>
        <w:kinsoku/>
        <w:wordWrap/>
        <w:overflowPunct/>
        <w:topLinePunct w:val="0"/>
        <w:bidi w:val="0"/>
        <w:spacing w:line="576" w:lineRule="exact"/>
        <w:ind w:firstLineChars="0"/>
        <w:outlineLvl w:val="1"/>
        <w:rPr>
          <w:rStyle w:val="25"/>
          <w:rFonts w:hint="default" w:ascii="Times New Roman" w:hAnsi="Times New Roman" w:eastAsia="黑体" w:cs="Times New Roman"/>
          <w:b w:val="0"/>
        </w:rPr>
      </w:pPr>
      <w:bookmarkStart w:id="24" w:name="_Toc15396604"/>
      <w:bookmarkStart w:id="25" w:name="_Toc15377206"/>
      <w:r>
        <w:rPr>
          <w:rFonts w:hint="default" w:ascii="Times New Roman" w:hAnsi="Times New Roman" w:eastAsia="黑体" w:cs="Times New Roman"/>
          <w:sz w:val="32"/>
          <w:szCs w:val="32"/>
        </w:rPr>
        <w:t>收</w:t>
      </w:r>
      <w:r>
        <w:rPr>
          <w:rStyle w:val="25"/>
          <w:rFonts w:hint="default" w:ascii="Times New Roman" w:hAnsi="Times New Roman" w:eastAsia="黑体" w:cs="Times New Roman"/>
          <w:b w:val="0"/>
        </w:rPr>
        <w:t>入决算情况说明</w:t>
      </w:r>
      <w:bookmarkEnd w:id="24"/>
      <w:bookmarkEnd w:id="25"/>
    </w:p>
    <w:p>
      <w:pPr>
        <w:pageBreakBefore w:val="0"/>
        <w:kinsoku/>
        <w:wordWrap/>
        <w:overflowPunct/>
        <w:topLinePunct w:val="0"/>
        <w:bidi w:val="0"/>
        <w:spacing w:line="576" w:lineRule="exact"/>
        <w:ind w:firstLine="640" w:firstLineChars="200"/>
        <w:outlineLvl w:val="1"/>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w:t>
      </w:r>
      <w:r>
        <w:rPr>
          <w:rFonts w:hint="default" w:ascii="Times New Roman" w:hAnsi="Times New Roman" w:eastAsia="仿宋" w:cs="Times New Roman"/>
          <w:sz w:val="32"/>
          <w:szCs w:val="32"/>
        </w:rPr>
        <w:t>21年本年收入合计</w:t>
      </w:r>
      <w:r>
        <w:rPr>
          <w:rFonts w:hint="default" w:ascii="Times New Roman" w:hAnsi="Times New Roman" w:eastAsia="仿宋" w:cs="Times New Roman"/>
          <w:sz w:val="32"/>
          <w:szCs w:val="32"/>
        </w:rPr>
        <w:t>205.5</w:t>
      </w:r>
      <w:r>
        <w:rPr>
          <w:rFonts w:hint="default" w:ascii="Times New Roman" w:hAnsi="Times New Roman" w:eastAsia="仿宋" w:cs="Times New Roman"/>
          <w:sz w:val="32"/>
          <w:szCs w:val="32"/>
        </w:rPr>
        <w:t>万元，其中：一般公共预算财政拨款收入</w:t>
      </w:r>
      <w:r>
        <w:rPr>
          <w:rFonts w:hint="default" w:ascii="Times New Roman" w:hAnsi="Times New Roman" w:eastAsia="仿宋" w:cs="Times New Roman"/>
          <w:sz w:val="32"/>
          <w:szCs w:val="32"/>
        </w:rPr>
        <w:t>205.5</w:t>
      </w:r>
      <w:r>
        <w:rPr>
          <w:rFonts w:hint="default" w:ascii="Times New Roman" w:hAnsi="Times New Roman" w:eastAsia="仿宋" w:cs="Times New Roman"/>
          <w:sz w:val="32"/>
          <w:szCs w:val="32"/>
        </w:rPr>
        <w:t>万元，占100</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；政府性基金预算财政拨款收入0万元，占0</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；国有资本经营预算财政拨款收入0万元，占0</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；上级补助收入0万元，占0</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；事业收入0万元，占0</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；经营收入0万元，占0</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；附属单位上缴收入0万元，占0</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；其他收入0万元，占0</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w:t>
      </w:r>
    </w:p>
    <w:p>
      <w:pPr>
        <w:pageBreakBefore w:val="0"/>
        <w:kinsoku/>
        <w:wordWrap/>
        <w:overflowPunct/>
        <w:topLinePunct w:val="0"/>
        <w:bidi w:val="0"/>
        <w:spacing w:line="576" w:lineRule="exact"/>
        <w:ind w:firstLine="642" w:firstLineChars="200"/>
        <w:outlineLvl w:val="1"/>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（注：数据来源于财决</w:t>
      </w:r>
      <w:r>
        <w:rPr>
          <w:rFonts w:hint="default" w:ascii="Times New Roman" w:hAnsi="Times New Roman" w:eastAsia="仿宋" w:cs="Times New Roman"/>
          <w:b/>
          <w:sz w:val="32"/>
          <w:szCs w:val="32"/>
        </w:rPr>
        <w:t>01表</w:t>
      </w:r>
      <w:r>
        <w:rPr>
          <w:rFonts w:hint="default" w:ascii="Times New Roman" w:hAnsi="Times New Roman" w:eastAsia="仿宋" w:cs="Times New Roman"/>
          <w:b/>
          <w:sz w:val="32"/>
          <w:szCs w:val="32"/>
        </w:rPr>
        <w:t>，仅罗列本单位涉及的收入。</w:t>
      </w:r>
      <w:r>
        <w:rPr>
          <w:rFonts w:hint="default" w:ascii="Times New Roman" w:hAnsi="Times New Roman" w:eastAsia="仿宋" w:cs="Times New Roman"/>
          <w:b/>
          <w:sz w:val="32"/>
          <w:szCs w:val="32"/>
        </w:rPr>
        <w:t>）</w:t>
      </w:r>
    </w:p>
    <w:p>
      <w:pPr>
        <w:pageBreakBefore w:val="0"/>
        <w:kinsoku/>
        <w:wordWrap/>
        <w:overflowPunct/>
        <w:topLinePunct w:val="0"/>
        <w:bidi w:val="0"/>
        <w:spacing w:line="576"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（图2：收入决算结构图）（饼状图）</w:t>
      </w:r>
    </w:p>
    <w:p>
      <w:pPr>
        <w:pStyle w:val="6"/>
        <w:bidi w:val="0"/>
        <w:rPr>
          <w:rFonts w:hint="default"/>
        </w:rPr>
      </w:pPr>
      <w:r>
        <w:rPr>
          <w:rFonts w:hint="default"/>
        </w:rPr>
        <w:drawing>
          <wp:inline distT="0" distB="0" distL="0" distR="0">
            <wp:extent cx="3970655" cy="2289810"/>
            <wp:effectExtent l="4445" t="5080" r="6350" b="10160"/>
            <wp:docPr id="4"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23"/>
        <w:pageBreakBefore w:val="0"/>
        <w:numPr>
          <w:ilvl w:val="0"/>
          <w:numId w:val="1"/>
        </w:numPr>
        <w:kinsoku/>
        <w:wordWrap/>
        <w:overflowPunct/>
        <w:topLinePunct w:val="0"/>
        <w:bidi w:val="0"/>
        <w:spacing w:line="576" w:lineRule="exact"/>
        <w:ind w:firstLineChars="0"/>
        <w:outlineLvl w:val="1"/>
        <w:rPr>
          <w:rStyle w:val="25"/>
          <w:rFonts w:hint="default" w:ascii="Times New Roman" w:hAnsi="Times New Roman" w:eastAsia="黑体" w:cs="Times New Roman"/>
          <w:b w:val="0"/>
        </w:rPr>
      </w:pPr>
      <w:bookmarkStart w:id="26" w:name="_Toc15377207"/>
      <w:bookmarkStart w:id="27" w:name="_Toc15396605"/>
      <w:r>
        <w:rPr>
          <w:rFonts w:hint="default" w:ascii="Times New Roman" w:hAnsi="Times New Roman" w:eastAsia="黑体" w:cs="Times New Roman"/>
          <w:sz w:val="32"/>
          <w:szCs w:val="32"/>
        </w:rPr>
        <w:t>支</w:t>
      </w:r>
      <w:r>
        <w:rPr>
          <w:rStyle w:val="25"/>
          <w:rFonts w:hint="default" w:ascii="Times New Roman" w:hAnsi="Times New Roman" w:eastAsia="黑体" w:cs="Times New Roman"/>
          <w:b w:val="0"/>
        </w:rPr>
        <w:t>出决算情况说明</w:t>
      </w:r>
      <w:bookmarkEnd w:id="26"/>
      <w:bookmarkEnd w:id="27"/>
    </w:p>
    <w:p>
      <w:pPr>
        <w:pageBreakBefore w:val="0"/>
        <w:kinsoku/>
        <w:wordWrap/>
        <w:overflowPunct/>
        <w:topLinePunct w:val="0"/>
        <w:bidi w:val="0"/>
        <w:spacing w:line="576" w:lineRule="exact"/>
        <w:ind w:firstLine="640" w:firstLineChars="200"/>
        <w:outlineLvl w:val="1"/>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w:t>
      </w:r>
      <w:r>
        <w:rPr>
          <w:rFonts w:hint="default" w:ascii="Times New Roman" w:hAnsi="Times New Roman" w:eastAsia="仿宋" w:cs="Times New Roman"/>
          <w:sz w:val="32"/>
          <w:szCs w:val="32"/>
        </w:rPr>
        <w:t>21年本年支出合计</w:t>
      </w:r>
      <w:r>
        <w:rPr>
          <w:rFonts w:hint="default" w:ascii="Times New Roman" w:hAnsi="Times New Roman" w:eastAsia="仿宋" w:cs="Times New Roman"/>
          <w:sz w:val="32"/>
          <w:szCs w:val="32"/>
        </w:rPr>
        <w:t>209.64</w:t>
      </w:r>
      <w:r>
        <w:rPr>
          <w:rFonts w:hint="default" w:ascii="Times New Roman" w:hAnsi="Times New Roman" w:eastAsia="仿宋" w:cs="Times New Roman"/>
          <w:sz w:val="32"/>
          <w:szCs w:val="32"/>
        </w:rPr>
        <w:t>万元，其中：基本支出</w:t>
      </w:r>
      <w:r>
        <w:rPr>
          <w:rFonts w:hint="default" w:ascii="Times New Roman" w:hAnsi="Times New Roman" w:eastAsia="仿宋" w:cs="Times New Roman"/>
          <w:sz w:val="32"/>
          <w:szCs w:val="32"/>
        </w:rPr>
        <w:t>158.8</w:t>
      </w:r>
      <w:r>
        <w:rPr>
          <w:rFonts w:hint="default" w:ascii="Times New Roman" w:hAnsi="Times New Roman" w:eastAsia="仿宋" w:cs="Times New Roman"/>
          <w:sz w:val="32"/>
          <w:szCs w:val="32"/>
        </w:rPr>
        <w:t>万元，占75.74</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；项目支出</w:t>
      </w:r>
      <w:r>
        <w:rPr>
          <w:rFonts w:hint="default" w:ascii="Times New Roman" w:hAnsi="Times New Roman" w:eastAsia="仿宋" w:cs="Times New Roman"/>
          <w:sz w:val="32"/>
          <w:szCs w:val="32"/>
        </w:rPr>
        <w:t>50.84</w:t>
      </w:r>
      <w:r>
        <w:rPr>
          <w:rFonts w:hint="default" w:ascii="Times New Roman" w:hAnsi="Times New Roman" w:eastAsia="仿宋" w:cs="Times New Roman"/>
          <w:sz w:val="32"/>
          <w:szCs w:val="32"/>
        </w:rPr>
        <w:t>万元，占24.26</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；上缴上级支出0万元，占0</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；经营支出0万元，占0</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；对附属单位补助支出0万元，占0</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w:t>
      </w:r>
    </w:p>
    <w:p>
      <w:pPr>
        <w:pageBreakBefore w:val="0"/>
        <w:kinsoku/>
        <w:wordWrap/>
        <w:overflowPunct/>
        <w:topLinePunct w:val="0"/>
        <w:bidi w:val="0"/>
        <w:spacing w:line="576" w:lineRule="exact"/>
        <w:ind w:firstLine="642" w:firstLineChars="200"/>
        <w:outlineLvl w:val="1"/>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（注：数据来源于财决</w:t>
      </w:r>
      <w:r>
        <w:rPr>
          <w:rFonts w:hint="default" w:ascii="Times New Roman" w:hAnsi="Times New Roman" w:eastAsia="仿宋" w:cs="Times New Roman"/>
          <w:b/>
          <w:sz w:val="32"/>
          <w:szCs w:val="32"/>
        </w:rPr>
        <w:t>04</w:t>
      </w:r>
      <w:r>
        <w:rPr>
          <w:rFonts w:hint="default" w:ascii="Times New Roman" w:hAnsi="Times New Roman" w:eastAsia="仿宋" w:cs="Times New Roman"/>
          <w:b/>
          <w:sz w:val="32"/>
          <w:szCs w:val="32"/>
        </w:rPr>
        <w:t>表，仅罗列本单位涉及的支出。）</w:t>
      </w:r>
    </w:p>
    <w:p>
      <w:pPr>
        <w:pageBreakBefore w:val="0"/>
        <w:kinsoku/>
        <w:wordWrap/>
        <w:overflowPunct/>
        <w:topLinePunct w:val="0"/>
        <w:bidi w:val="0"/>
        <w:spacing w:line="576" w:lineRule="exact"/>
        <w:ind w:firstLine="640" w:firstLineChars="200"/>
        <w:rPr>
          <w:rFonts w:hint="default" w:ascii="Times New Roman" w:hAnsi="Times New Roman" w:cs="Times New Roman"/>
        </w:rPr>
      </w:pPr>
      <w:r>
        <w:rPr>
          <w:rFonts w:hint="default" w:ascii="Times New Roman" w:hAnsi="Times New Roman" w:eastAsia="仿宋" w:cs="Times New Roman"/>
          <w:sz w:val="32"/>
          <w:szCs w:val="32"/>
        </w:rPr>
        <w:t>（图3：支出决算结构图）（饼状图）</w:t>
      </w:r>
    </w:p>
    <w:p>
      <w:pPr>
        <w:pStyle w:val="6"/>
        <w:bidi w:val="0"/>
        <w:rPr>
          <w:rFonts w:hint="default"/>
        </w:rPr>
      </w:pPr>
      <w:r>
        <w:rPr>
          <w:rFonts w:hint="default"/>
        </w:rPr>
        <w:drawing>
          <wp:inline distT="0" distB="0" distL="0" distR="0">
            <wp:extent cx="4031615" cy="2075815"/>
            <wp:effectExtent l="4445" t="4445" r="21590" b="15240"/>
            <wp:docPr id="5"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ageBreakBefore w:val="0"/>
        <w:kinsoku/>
        <w:wordWrap/>
        <w:overflowPunct/>
        <w:topLinePunct w:val="0"/>
        <w:bidi w:val="0"/>
        <w:spacing w:line="576" w:lineRule="exact"/>
        <w:ind w:firstLine="640" w:firstLineChars="200"/>
        <w:outlineLvl w:val="1"/>
        <w:rPr>
          <w:rStyle w:val="25"/>
          <w:rFonts w:hint="default" w:ascii="Times New Roman" w:hAnsi="Times New Roman" w:eastAsia="黑体" w:cs="Times New Roman"/>
          <w:b w:val="0"/>
        </w:rPr>
      </w:pPr>
      <w:bookmarkStart w:id="28" w:name="_Toc15377208"/>
      <w:bookmarkStart w:id="29" w:name="_Toc15396606"/>
      <w:r>
        <w:rPr>
          <w:rFonts w:hint="default" w:ascii="Times New Roman" w:hAnsi="Times New Roman" w:eastAsia="黑体" w:cs="Times New Roman"/>
          <w:sz w:val="32"/>
          <w:szCs w:val="32"/>
        </w:rPr>
        <w:t>四、财</w:t>
      </w:r>
      <w:r>
        <w:rPr>
          <w:rStyle w:val="25"/>
          <w:rFonts w:hint="default" w:ascii="Times New Roman" w:hAnsi="Times New Roman" w:eastAsia="黑体" w:cs="Times New Roman"/>
          <w:b w:val="0"/>
        </w:rPr>
        <w:t>政拨款收入支出决算总体情况说明</w:t>
      </w:r>
      <w:bookmarkEnd w:id="28"/>
      <w:bookmarkEnd w:id="29"/>
    </w:p>
    <w:p>
      <w:pPr>
        <w:pageBreakBefore w:val="0"/>
        <w:kinsoku/>
        <w:wordWrap/>
        <w:overflowPunct/>
        <w:topLinePunct w:val="0"/>
        <w:bidi w:val="0"/>
        <w:spacing w:line="576" w:lineRule="exact"/>
        <w:ind w:firstLine="640"/>
        <w:rPr>
          <w:rFonts w:hint="default" w:ascii="Times New Roman" w:hAnsi="Times New Roman" w:eastAsia="仿宋" w:cs="Times New Roman"/>
          <w:sz w:val="32"/>
          <w:szCs w:val="32"/>
        </w:rPr>
      </w:pPr>
      <w:bookmarkStart w:id="30" w:name="_Toc15396607"/>
      <w:bookmarkStart w:id="31" w:name="_Toc15377209"/>
      <w:r>
        <w:rPr>
          <w:rFonts w:hint="default" w:ascii="Times New Roman" w:hAnsi="Times New Roman" w:eastAsia="仿宋" w:cs="Times New Roman"/>
          <w:sz w:val="32"/>
          <w:szCs w:val="32"/>
        </w:rPr>
        <w:t>20</w:t>
      </w:r>
      <w:r>
        <w:rPr>
          <w:rFonts w:hint="default" w:ascii="Times New Roman" w:hAnsi="Times New Roman" w:eastAsia="仿宋" w:cs="Times New Roman"/>
          <w:sz w:val="32"/>
          <w:szCs w:val="32"/>
        </w:rPr>
        <w:t>21年财政拨款收入总计</w:t>
      </w:r>
      <w:r>
        <w:rPr>
          <w:rFonts w:hint="default" w:ascii="Times New Roman" w:hAnsi="Times New Roman" w:eastAsia="仿宋" w:cs="Times New Roman"/>
          <w:sz w:val="32"/>
          <w:szCs w:val="32"/>
        </w:rPr>
        <w:t>205.5</w:t>
      </w:r>
      <w:r>
        <w:rPr>
          <w:rFonts w:hint="default" w:ascii="Times New Roman" w:hAnsi="Times New Roman" w:eastAsia="仿宋" w:cs="Times New Roman"/>
          <w:sz w:val="32"/>
          <w:szCs w:val="32"/>
        </w:rPr>
        <w:t>万元、支出总计</w:t>
      </w:r>
      <w:r>
        <w:rPr>
          <w:rFonts w:hint="default" w:ascii="Times New Roman" w:hAnsi="Times New Roman" w:eastAsia="仿宋" w:cs="Times New Roman"/>
          <w:sz w:val="32"/>
          <w:szCs w:val="32"/>
        </w:rPr>
        <w:t>209.64</w:t>
      </w:r>
      <w:r>
        <w:rPr>
          <w:rFonts w:hint="default" w:ascii="Times New Roman" w:hAnsi="Times New Roman" w:eastAsia="仿宋" w:cs="Times New Roman"/>
          <w:sz w:val="32"/>
          <w:szCs w:val="32"/>
        </w:rPr>
        <w:t>万元。与</w:t>
      </w:r>
      <w:r>
        <w:rPr>
          <w:rFonts w:hint="default" w:ascii="Times New Roman" w:hAnsi="Times New Roman" w:eastAsia="仿宋" w:cs="Times New Roman"/>
          <w:sz w:val="32"/>
          <w:szCs w:val="32"/>
        </w:rPr>
        <w:t>20</w:t>
      </w:r>
      <w:r>
        <w:rPr>
          <w:rFonts w:hint="default" w:ascii="Times New Roman" w:hAnsi="Times New Roman" w:eastAsia="仿宋" w:cs="Times New Roman"/>
          <w:sz w:val="32"/>
          <w:szCs w:val="32"/>
        </w:rPr>
        <w:t>20年相比，财政拨款收入减少1.31万元、支出增加0.14万元，收入下降0.63</w:t>
      </w:r>
      <w:r>
        <w:rPr>
          <w:rFonts w:hint="default" w:ascii="Times New Roman" w:hAnsi="Times New Roman" w:eastAsia="仿宋" w:cs="Times New Roman"/>
          <w:sz w:val="32"/>
          <w:szCs w:val="32"/>
        </w:rPr>
        <w:t>%，支出</w:t>
      </w:r>
      <w:r>
        <w:rPr>
          <w:rFonts w:hint="default" w:ascii="Times New Roman" w:hAnsi="Times New Roman" w:eastAsia="仿宋" w:cs="Times New Roman"/>
          <w:sz w:val="32"/>
          <w:szCs w:val="32"/>
        </w:rPr>
        <w:t>增长0.07%。主要变动原因是厉行节约。</w:t>
      </w:r>
    </w:p>
    <w:p>
      <w:pPr>
        <w:pageBreakBefore w:val="0"/>
        <w:kinsoku/>
        <w:wordWrap/>
        <w:overflowPunct/>
        <w:topLinePunct w:val="0"/>
        <w:bidi w:val="0"/>
        <w:spacing w:line="576" w:lineRule="exact"/>
        <w:ind w:firstLine="640"/>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（注：数据来源于财决</w:t>
      </w:r>
      <w:r>
        <w:rPr>
          <w:rFonts w:hint="default" w:ascii="Times New Roman" w:hAnsi="Times New Roman" w:eastAsia="仿宋" w:cs="Times New Roman"/>
          <w:b/>
          <w:sz w:val="32"/>
          <w:szCs w:val="32"/>
        </w:rPr>
        <w:t>01-1</w:t>
      </w:r>
      <w:r>
        <w:rPr>
          <w:rFonts w:hint="default" w:ascii="Times New Roman" w:hAnsi="Times New Roman" w:eastAsia="仿宋" w:cs="Times New Roman"/>
          <w:b/>
          <w:sz w:val="32"/>
          <w:szCs w:val="32"/>
        </w:rPr>
        <w:t>表</w:t>
      </w:r>
      <w:r>
        <w:rPr>
          <w:rFonts w:hint="default" w:ascii="Times New Roman" w:hAnsi="Times New Roman" w:eastAsia="仿宋" w:cs="Times New Roman"/>
          <w:b/>
          <w:sz w:val="32"/>
          <w:szCs w:val="32"/>
        </w:rPr>
        <w:t>）</w:t>
      </w:r>
    </w:p>
    <w:p>
      <w:pPr>
        <w:pageBreakBefore w:val="0"/>
        <w:kinsoku/>
        <w:wordWrap/>
        <w:overflowPunct/>
        <w:topLinePunct w:val="0"/>
        <w:bidi w:val="0"/>
        <w:spacing w:line="576" w:lineRule="exact"/>
        <w:rPr>
          <w:rFonts w:hint="default" w:ascii="Times New Roman" w:hAnsi="Times New Roman" w:eastAsia="仿宋" w:cs="Times New Roman"/>
          <w:sz w:val="32"/>
          <w:szCs w:val="32"/>
        </w:rPr>
      </w:pPr>
    </w:p>
    <w:p>
      <w:pPr>
        <w:pageBreakBefore w:val="0"/>
        <w:kinsoku/>
        <w:wordWrap/>
        <w:overflowPunct/>
        <w:topLinePunct w:val="0"/>
        <w:bidi w:val="0"/>
        <w:spacing w:line="576" w:lineRule="exact"/>
        <w:ind w:firstLine="640" w:firstLineChars="200"/>
        <w:rPr>
          <w:rFonts w:hint="default" w:ascii="Times New Roman" w:hAnsi="Times New Roman" w:cs="Times New Roman"/>
        </w:rPr>
      </w:pPr>
      <w:r>
        <w:rPr>
          <w:rFonts w:hint="default" w:ascii="Times New Roman" w:hAnsi="Times New Roman" w:eastAsia="仿宋" w:cs="Times New Roman"/>
          <w:sz w:val="32"/>
          <w:szCs w:val="32"/>
        </w:rPr>
        <w:t>（图4：财政拨款收、支决算总计变动情况）（柱状图）</w:t>
      </w:r>
    </w:p>
    <w:p>
      <w:pPr>
        <w:pStyle w:val="6"/>
        <w:bidi w:val="0"/>
        <w:rPr>
          <w:rFonts w:hint="default"/>
        </w:rPr>
      </w:pPr>
      <w:r>
        <w:rPr>
          <w:rFonts w:hint="default"/>
        </w:rPr>
        <w:drawing>
          <wp:inline distT="0" distB="0" distL="0" distR="0">
            <wp:extent cx="4574540" cy="2652395"/>
            <wp:effectExtent l="4445" t="4445" r="12065" b="10160"/>
            <wp:docPr id="10"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ageBreakBefore w:val="0"/>
        <w:kinsoku/>
        <w:wordWrap/>
        <w:overflowPunct/>
        <w:topLinePunct w:val="0"/>
        <w:bidi w:val="0"/>
        <w:spacing w:line="576" w:lineRule="exact"/>
        <w:ind w:firstLine="640" w:firstLineChars="200"/>
        <w:outlineLvl w:val="1"/>
        <w:rPr>
          <w:rStyle w:val="25"/>
          <w:rFonts w:hint="default" w:ascii="Times New Roman" w:hAnsi="Times New Roman" w:eastAsia="黑体" w:cs="Times New Roman"/>
          <w:b w:val="0"/>
        </w:rPr>
      </w:pPr>
      <w:r>
        <w:rPr>
          <w:rFonts w:hint="default" w:ascii="Times New Roman" w:hAnsi="Times New Roman" w:eastAsia="黑体" w:cs="Times New Roman"/>
          <w:sz w:val="32"/>
          <w:szCs w:val="32"/>
        </w:rPr>
        <w:t>五、</w:t>
      </w:r>
      <w:r>
        <w:rPr>
          <w:rFonts w:hint="default" w:ascii="Times New Roman" w:hAnsi="Times New Roman" w:eastAsia="黑体" w:cs="Times New Roman"/>
          <w:b/>
          <w:sz w:val="32"/>
          <w:szCs w:val="32"/>
        </w:rPr>
        <w:t>一</w:t>
      </w:r>
      <w:r>
        <w:rPr>
          <w:rStyle w:val="25"/>
          <w:rFonts w:hint="default" w:ascii="Times New Roman" w:hAnsi="Times New Roman" w:eastAsia="黑体" w:cs="Times New Roman"/>
          <w:b w:val="0"/>
        </w:rPr>
        <w:t>般公共预算财政拨款支出决算情况说明</w:t>
      </w:r>
      <w:bookmarkEnd w:id="30"/>
      <w:bookmarkEnd w:id="31"/>
    </w:p>
    <w:p>
      <w:pPr>
        <w:pageBreakBefore w:val="0"/>
        <w:kinsoku/>
        <w:wordWrap/>
        <w:overflowPunct/>
        <w:topLinePunct w:val="0"/>
        <w:bidi w:val="0"/>
        <w:spacing w:line="576" w:lineRule="exact"/>
        <w:ind w:firstLine="642" w:firstLineChars="200"/>
        <w:outlineLvl w:val="2"/>
        <w:rPr>
          <w:rFonts w:hint="default" w:ascii="Times New Roman" w:hAnsi="Times New Roman" w:eastAsia="仿宋" w:cs="Times New Roman"/>
          <w:b/>
          <w:sz w:val="32"/>
          <w:szCs w:val="32"/>
        </w:rPr>
      </w:pPr>
      <w:bookmarkStart w:id="32" w:name="_Toc15377210"/>
      <w:r>
        <w:rPr>
          <w:rFonts w:hint="default" w:ascii="Times New Roman" w:hAnsi="Times New Roman" w:eastAsia="仿宋" w:cs="Times New Roman"/>
          <w:b/>
          <w:sz w:val="32"/>
          <w:szCs w:val="32"/>
        </w:rPr>
        <w:t>（一）一般公共预算财政拨款支出决算总体情况</w:t>
      </w:r>
      <w:bookmarkEnd w:id="32"/>
    </w:p>
    <w:p>
      <w:pPr>
        <w:pageBreakBefore w:val="0"/>
        <w:kinsoku/>
        <w:wordWrap/>
        <w:overflowPunct/>
        <w:topLinePunct w:val="0"/>
        <w:bidi w:val="0"/>
        <w:spacing w:line="576"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w:t>
      </w:r>
      <w:r>
        <w:rPr>
          <w:rFonts w:hint="default" w:ascii="Times New Roman" w:hAnsi="Times New Roman" w:eastAsia="仿宋" w:cs="Times New Roman"/>
          <w:sz w:val="32"/>
          <w:szCs w:val="32"/>
        </w:rPr>
        <w:t>21年一般公共预算财政拨款支出</w:t>
      </w:r>
      <w:r>
        <w:rPr>
          <w:rFonts w:hint="default" w:ascii="Times New Roman" w:hAnsi="Times New Roman" w:eastAsia="仿宋" w:cs="Times New Roman"/>
          <w:sz w:val="32"/>
          <w:szCs w:val="32"/>
        </w:rPr>
        <w:t>209.64</w:t>
      </w:r>
      <w:r>
        <w:rPr>
          <w:rFonts w:hint="default" w:ascii="Times New Roman" w:hAnsi="Times New Roman" w:eastAsia="仿宋" w:cs="Times New Roman"/>
          <w:sz w:val="32"/>
          <w:szCs w:val="32"/>
        </w:rPr>
        <w:t>万元，占本年支出合计的100</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。与</w:t>
      </w:r>
      <w:r>
        <w:rPr>
          <w:rFonts w:hint="default" w:ascii="Times New Roman" w:hAnsi="Times New Roman" w:eastAsia="仿宋" w:cs="Times New Roman"/>
          <w:sz w:val="32"/>
          <w:szCs w:val="32"/>
        </w:rPr>
        <w:t>20</w:t>
      </w:r>
      <w:r>
        <w:rPr>
          <w:rFonts w:hint="default" w:ascii="Times New Roman" w:hAnsi="Times New Roman" w:eastAsia="仿宋" w:cs="Times New Roman"/>
          <w:sz w:val="32"/>
          <w:szCs w:val="32"/>
        </w:rPr>
        <w:t>20年相比，一般公共预算财政拨款支出增加0.14万元，增长0.07</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。主要变动原因是人员工资变动。（图5：一般公共预算财政拨款支出决算变动情况）（柱状图）</w:t>
      </w:r>
    </w:p>
    <w:p>
      <w:pPr>
        <w:pageBreakBefore w:val="0"/>
        <w:kinsoku/>
        <w:wordWrap/>
        <w:overflowPunct/>
        <w:topLinePunct w:val="0"/>
        <w:bidi w:val="0"/>
        <w:spacing w:line="576" w:lineRule="exact"/>
        <w:ind w:firstLine="420" w:firstLineChars="200"/>
        <w:rPr>
          <w:rFonts w:hint="default" w:ascii="Times New Roman" w:hAnsi="Times New Roman" w:cs="Times New Roman"/>
        </w:rPr>
      </w:pPr>
    </w:p>
    <w:p>
      <w:pPr>
        <w:pStyle w:val="6"/>
        <w:bidi w:val="0"/>
        <w:rPr>
          <w:rFonts w:hint="default"/>
        </w:rPr>
      </w:pPr>
      <w:r>
        <w:rPr>
          <w:rFonts w:hint="default"/>
        </w:rPr>
        <w:drawing>
          <wp:inline distT="0" distB="0" distL="0" distR="0">
            <wp:extent cx="4470400" cy="2339340"/>
            <wp:effectExtent l="4445" t="4445" r="20955" b="18415"/>
            <wp:docPr id="11"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ageBreakBefore w:val="0"/>
        <w:kinsoku/>
        <w:wordWrap/>
        <w:overflowPunct/>
        <w:topLinePunct w:val="0"/>
        <w:bidi w:val="0"/>
        <w:spacing w:line="576" w:lineRule="exact"/>
        <w:ind w:firstLine="642" w:firstLineChars="200"/>
        <w:outlineLvl w:val="2"/>
        <w:rPr>
          <w:rFonts w:hint="default" w:ascii="Times New Roman" w:hAnsi="Times New Roman" w:eastAsia="仿宋" w:cs="Times New Roman"/>
          <w:b/>
          <w:sz w:val="32"/>
          <w:szCs w:val="32"/>
        </w:rPr>
      </w:pPr>
      <w:bookmarkStart w:id="33" w:name="_Toc15377211"/>
      <w:r>
        <w:rPr>
          <w:rFonts w:hint="default" w:ascii="Times New Roman" w:hAnsi="Times New Roman" w:eastAsia="仿宋" w:cs="Times New Roman"/>
          <w:b/>
          <w:sz w:val="32"/>
          <w:szCs w:val="32"/>
        </w:rPr>
        <w:t>（二）一般公共预算财政拨款支出决算结构情况</w:t>
      </w:r>
      <w:bookmarkEnd w:id="33"/>
    </w:p>
    <w:p>
      <w:pPr>
        <w:pageBreakBefore w:val="0"/>
        <w:kinsoku/>
        <w:wordWrap/>
        <w:overflowPunct/>
        <w:topLinePunct w:val="0"/>
        <w:bidi w:val="0"/>
        <w:spacing w:line="576" w:lineRule="exact"/>
        <w:ind w:firstLine="640"/>
        <w:rPr>
          <w:rFonts w:hint="default" w:ascii="Times New Roman" w:hAnsi="Times New Roman" w:eastAsia="仿宋" w:cs="Times New Roman"/>
          <w:b/>
          <w:sz w:val="32"/>
          <w:szCs w:val="32"/>
        </w:rPr>
      </w:pPr>
      <w:bookmarkStart w:id="34" w:name="_Toc15377212"/>
      <w:r>
        <w:rPr>
          <w:rFonts w:hint="default" w:ascii="Times New Roman" w:hAnsi="Times New Roman" w:eastAsia="仿宋" w:cs="Times New Roman"/>
          <w:sz w:val="32"/>
          <w:szCs w:val="32"/>
        </w:rPr>
        <w:t>20</w:t>
      </w:r>
      <w:r>
        <w:rPr>
          <w:rFonts w:hint="default" w:ascii="Times New Roman" w:hAnsi="Times New Roman" w:eastAsia="仿宋" w:cs="Times New Roman"/>
          <w:sz w:val="32"/>
          <w:szCs w:val="32"/>
        </w:rPr>
        <w:t>21年一般公共预算财政拨款支出</w:t>
      </w:r>
      <w:r>
        <w:rPr>
          <w:rFonts w:hint="default" w:ascii="Times New Roman" w:hAnsi="Times New Roman" w:eastAsia="仿宋" w:cs="Times New Roman"/>
          <w:sz w:val="32"/>
          <w:szCs w:val="32"/>
        </w:rPr>
        <w:t>209.64</w:t>
      </w:r>
      <w:r>
        <w:rPr>
          <w:rFonts w:hint="default" w:ascii="Times New Roman" w:hAnsi="Times New Roman" w:eastAsia="仿宋" w:cs="Times New Roman"/>
          <w:sz w:val="32"/>
          <w:szCs w:val="32"/>
        </w:rPr>
        <w:t>万元，主要用于以下方面</w:t>
      </w:r>
      <w:r>
        <w:rPr>
          <w:rFonts w:hint="default" w:ascii="Times New Roman" w:hAnsi="Times New Roman" w:eastAsia="仿宋" w:cs="Times New Roman"/>
          <w:sz w:val="32"/>
          <w:szCs w:val="32"/>
        </w:rPr>
        <w:t>:</w:t>
      </w:r>
      <w:r>
        <w:rPr>
          <w:rFonts w:hint="default" w:ascii="Times New Roman" w:hAnsi="Times New Roman" w:eastAsia="仿宋" w:cs="Times New Roman"/>
          <w:b/>
          <w:sz w:val="32"/>
          <w:szCs w:val="32"/>
        </w:rPr>
        <w:t>一般公共服务（类）</w:t>
      </w:r>
      <w:r>
        <w:rPr>
          <w:rFonts w:hint="default" w:ascii="Times New Roman" w:hAnsi="Times New Roman" w:eastAsia="仿宋" w:cs="Times New Roman"/>
          <w:sz w:val="32"/>
          <w:szCs w:val="32"/>
        </w:rPr>
        <w:t>支出</w:t>
      </w:r>
      <w:r>
        <w:rPr>
          <w:rFonts w:hint="default" w:ascii="Times New Roman" w:hAnsi="Times New Roman" w:eastAsia="仿宋" w:cs="Times New Roman"/>
          <w:sz w:val="32"/>
          <w:szCs w:val="32"/>
        </w:rPr>
        <w:t>180</w:t>
      </w:r>
      <w:r>
        <w:rPr>
          <w:rFonts w:hint="default" w:ascii="Times New Roman" w:hAnsi="Times New Roman" w:eastAsia="仿宋" w:cs="Times New Roman"/>
          <w:sz w:val="32"/>
          <w:szCs w:val="32"/>
        </w:rPr>
        <w:t>万元，占85.86</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w:t>
      </w:r>
      <w:r>
        <w:rPr>
          <w:rFonts w:hint="default" w:ascii="Times New Roman" w:hAnsi="Times New Roman" w:eastAsia="仿宋" w:cs="Times New Roman"/>
          <w:b/>
          <w:sz w:val="32"/>
          <w:szCs w:val="32"/>
        </w:rPr>
        <w:t>教育支出（类）</w:t>
      </w:r>
      <w:r>
        <w:rPr>
          <w:rFonts w:hint="default" w:ascii="Times New Roman" w:hAnsi="Times New Roman" w:eastAsia="仿宋" w:cs="Times New Roman"/>
          <w:sz w:val="32"/>
          <w:szCs w:val="32"/>
        </w:rPr>
        <w:t>0万元，占0</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w:t>
      </w:r>
      <w:r>
        <w:rPr>
          <w:rFonts w:hint="default" w:ascii="Times New Roman" w:hAnsi="Times New Roman" w:eastAsia="仿宋" w:cs="Times New Roman"/>
          <w:b/>
          <w:sz w:val="32"/>
          <w:szCs w:val="32"/>
        </w:rPr>
        <w:t>科学技术（类）</w:t>
      </w:r>
      <w:r>
        <w:rPr>
          <w:rFonts w:hint="default" w:ascii="Times New Roman" w:hAnsi="Times New Roman" w:eastAsia="仿宋" w:cs="Times New Roman"/>
          <w:sz w:val="32"/>
          <w:szCs w:val="32"/>
        </w:rPr>
        <w:t>支出0万元，占0</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w:t>
      </w:r>
      <w:r>
        <w:rPr>
          <w:rFonts w:hint="default" w:ascii="Times New Roman" w:hAnsi="Times New Roman" w:eastAsia="仿宋" w:cs="Times New Roman"/>
          <w:b/>
          <w:bCs/>
          <w:sz w:val="32"/>
          <w:szCs w:val="32"/>
        </w:rPr>
        <w:t>文化旅游体育与传媒（类）支出0万元，占0</w:t>
      </w:r>
      <w:r>
        <w:rPr>
          <w:rFonts w:hint="default" w:ascii="Times New Roman" w:hAnsi="Times New Roman" w:eastAsia="仿宋" w:cs="Times New Roman"/>
          <w:b/>
          <w:bCs/>
          <w:sz w:val="32"/>
          <w:szCs w:val="32"/>
        </w:rPr>
        <w:t>%</w:t>
      </w:r>
      <w:r>
        <w:rPr>
          <w:rFonts w:hint="default" w:ascii="Times New Roman" w:hAnsi="Times New Roman" w:eastAsia="仿宋" w:cs="Times New Roman"/>
          <w:sz w:val="32"/>
          <w:szCs w:val="32"/>
        </w:rPr>
        <w:t>；</w:t>
      </w:r>
      <w:r>
        <w:rPr>
          <w:rFonts w:hint="default" w:ascii="Times New Roman" w:hAnsi="Times New Roman" w:eastAsia="仿宋" w:cs="Times New Roman"/>
          <w:b/>
          <w:sz w:val="32"/>
          <w:szCs w:val="32"/>
        </w:rPr>
        <w:t>社会保障和就业（类）</w:t>
      </w:r>
      <w:r>
        <w:rPr>
          <w:rFonts w:hint="default" w:ascii="Times New Roman" w:hAnsi="Times New Roman" w:eastAsia="仿宋" w:cs="Times New Roman"/>
          <w:sz w:val="32"/>
          <w:szCs w:val="32"/>
        </w:rPr>
        <w:t>支出</w:t>
      </w:r>
      <w:r>
        <w:rPr>
          <w:rFonts w:hint="default" w:ascii="Times New Roman" w:hAnsi="Times New Roman" w:eastAsia="仿宋" w:cs="Times New Roman"/>
          <w:sz w:val="32"/>
          <w:szCs w:val="32"/>
        </w:rPr>
        <w:t>14.44</w:t>
      </w:r>
      <w:r>
        <w:rPr>
          <w:rFonts w:hint="default" w:ascii="Times New Roman" w:hAnsi="Times New Roman" w:eastAsia="仿宋" w:cs="Times New Roman"/>
          <w:sz w:val="32"/>
          <w:szCs w:val="32"/>
        </w:rPr>
        <w:t>万元，占6.89</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w:t>
      </w:r>
      <w:r>
        <w:rPr>
          <w:rFonts w:hint="default" w:ascii="Times New Roman" w:hAnsi="Times New Roman" w:eastAsia="仿宋" w:cs="Times New Roman"/>
          <w:b/>
          <w:bCs/>
          <w:sz w:val="32"/>
          <w:szCs w:val="32"/>
        </w:rPr>
        <w:t>卫生健康支出</w:t>
      </w:r>
      <w:r>
        <w:rPr>
          <w:rFonts w:hint="default" w:ascii="Times New Roman" w:hAnsi="Times New Roman" w:eastAsia="仿宋" w:cs="Times New Roman"/>
          <w:sz w:val="32"/>
          <w:szCs w:val="32"/>
        </w:rPr>
        <w:t>7.2</w:t>
      </w:r>
      <w:r>
        <w:rPr>
          <w:rFonts w:hint="default" w:ascii="Times New Roman" w:hAnsi="Times New Roman" w:eastAsia="仿宋" w:cs="Times New Roman"/>
          <w:sz w:val="32"/>
          <w:szCs w:val="32"/>
        </w:rPr>
        <w:t>万元，占3.43</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；住房保障支出</w:t>
      </w:r>
      <w:r>
        <w:rPr>
          <w:rFonts w:hint="default" w:ascii="Times New Roman" w:hAnsi="Times New Roman" w:eastAsia="仿宋" w:cs="Times New Roman"/>
          <w:sz w:val="32"/>
          <w:szCs w:val="32"/>
        </w:rPr>
        <w:t>8</w:t>
      </w:r>
      <w:r>
        <w:rPr>
          <w:rFonts w:hint="default" w:ascii="Times New Roman" w:hAnsi="Times New Roman" w:eastAsia="仿宋" w:cs="Times New Roman"/>
          <w:sz w:val="32"/>
          <w:szCs w:val="32"/>
        </w:rPr>
        <w:t>万元，占3.82</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w:t>
      </w:r>
    </w:p>
    <w:p>
      <w:pPr>
        <w:pageBreakBefore w:val="0"/>
        <w:kinsoku/>
        <w:wordWrap/>
        <w:overflowPunct/>
        <w:topLinePunct w:val="0"/>
        <w:bidi w:val="0"/>
        <w:spacing w:line="576" w:lineRule="exact"/>
        <w:ind w:firstLine="640"/>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（注：数据来源于财决01-1表，仅罗列本单位涉及的全部功能分类科目，至类级。）</w:t>
      </w:r>
    </w:p>
    <w:p>
      <w:pPr>
        <w:pStyle w:val="3"/>
        <w:bidi w:val="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（图6：一般公共预算财政拨款支出决算结构）（饼状图）</w:t>
      </w:r>
      <w:r>
        <w:rPr>
          <w:rFonts w:hint="default" w:ascii="Times New Roman" w:hAnsi="Times New Roman" w:cs="Times New Roman"/>
        </w:rPr>
        <w:drawing>
          <wp:inline distT="0" distB="0" distL="0" distR="0">
            <wp:extent cx="4353560" cy="2462530"/>
            <wp:effectExtent l="4445" t="4445" r="23495" b="9525"/>
            <wp:docPr id="12"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pStyle w:val="2"/>
        <w:pageBreakBefore w:val="0"/>
        <w:kinsoku/>
        <w:wordWrap/>
        <w:overflowPunct/>
        <w:topLinePunct w:val="0"/>
        <w:bidi w:val="0"/>
        <w:spacing w:before="93" w:line="576" w:lineRule="exact"/>
        <w:rPr>
          <w:rFonts w:hint="default" w:ascii="Times New Roman" w:hAnsi="Times New Roman" w:cs="Times New Roman"/>
        </w:rPr>
      </w:pPr>
    </w:p>
    <w:p>
      <w:pPr>
        <w:pageBreakBefore w:val="0"/>
        <w:kinsoku/>
        <w:wordWrap/>
        <w:overflowPunct/>
        <w:topLinePunct w:val="0"/>
        <w:bidi w:val="0"/>
        <w:spacing w:line="576" w:lineRule="exact"/>
        <w:ind w:firstLine="642" w:firstLineChars="200"/>
        <w:outlineLvl w:val="2"/>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（三）一般公共预算财政拨款支出决算具体情况</w:t>
      </w:r>
      <w:bookmarkEnd w:id="34"/>
    </w:p>
    <w:p>
      <w:pPr>
        <w:pageBreakBefore w:val="0"/>
        <w:kinsoku/>
        <w:wordWrap/>
        <w:overflowPunct/>
        <w:topLinePunct w:val="0"/>
        <w:bidi w:val="0"/>
        <w:spacing w:line="576" w:lineRule="exact"/>
        <w:ind w:firstLine="642" w:firstLineChars="200"/>
        <w:outlineLvl w:val="2"/>
        <w:rPr>
          <w:rFonts w:hint="default" w:ascii="Times New Roman" w:hAnsi="Times New Roman" w:eastAsia="仿宋" w:cs="Times New Roman"/>
          <w:sz w:val="32"/>
          <w:szCs w:val="32"/>
        </w:rPr>
      </w:pPr>
      <w:bookmarkStart w:id="35" w:name="_Toc15378460"/>
      <w:bookmarkStart w:id="36" w:name="_Toc15377444"/>
      <w:bookmarkStart w:id="37" w:name="_Toc15377213"/>
      <w:r>
        <w:rPr>
          <w:rFonts w:hint="default" w:ascii="Times New Roman" w:hAnsi="Times New Roman" w:eastAsia="仿宋" w:cs="Times New Roman"/>
          <w:b/>
          <w:sz w:val="32"/>
          <w:szCs w:val="32"/>
        </w:rPr>
        <w:t>2021年一般公共预算支出决算数为</w:t>
      </w:r>
      <w:r>
        <w:rPr>
          <w:rFonts w:hint="default" w:ascii="Times New Roman" w:hAnsi="Times New Roman" w:eastAsia="仿宋" w:cs="Times New Roman"/>
          <w:sz w:val="32"/>
          <w:szCs w:val="32"/>
        </w:rPr>
        <w:t>209.64</w:t>
      </w:r>
      <w:r>
        <w:rPr>
          <w:rFonts w:hint="default" w:ascii="Times New Roman" w:hAnsi="Times New Roman" w:eastAsia="仿宋" w:cs="Times New Roman"/>
          <w:sz w:val="32"/>
          <w:szCs w:val="32"/>
        </w:rPr>
        <w:t>，</w:t>
      </w:r>
      <w:r>
        <w:rPr>
          <w:rStyle w:val="14"/>
          <w:rFonts w:hint="default" w:ascii="Times New Roman" w:hAnsi="Times New Roman" w:eastAsia="仿宋" w:cs="Times New Roman"/>
          <w:bCs/>
          <w:sz w:val="32"/>
          <w:szCs w:val="32"/>
        </w:rPr>
        <w:t>完成预算100</w:t>
      </w:r>
      <w:r>
        <w:rPr>
          <w:rStyle w:val="14"/>
          <w:rFonts w:hint="default" w:ascii="Times New Roman" w:hAnsi="Times New Roman" w:eastAsia="仿宋" w:cs="Times New Roman"/>
          <w:bCs/>
          <w:sz w:val="32"/>
          <w:szCs w:val="32"/>
        </w:rPr>
        <w:t>%</w:t>
      </w:r>
      <w:r>
        <w:rPr>
          <w:rStyle w:val="14"/>
          <w:rFonts w:hint="default" w:ascii="Times New Roman" w:hAnsi="Times New Roman" w:eastAsia="仿宋" w:cs="Times New Roman"/>
          <w:bCs/>
          <w:sz w:val="32"/>
          <w:szCs w:val="32"/>
        </w:rPr>
        <w:t>。其中：</w:t>
      </w:r>
      <w:bookmarkEnd w:id="35"/>
      <w:bookmarkEnd w:id="36"/>
      <w:bookmarkEnd w:id="37"/>
    </w:p>
    <w:p>
      <w:pPr>
        <w:pageBreakBefore w:val="0"/>
        <w:kinsoku/>
        <w:wordWrap/>
        <w:overflowPunct/>
        <w:topLinePunct w:val="0"/>
        <w:bidi w:val="0"/>
        <w:spacing w:line="576" w:lineRule="exact"/>
        <w:ind w:firstLine="642" w:firstLineChars="200"/>
        <w:rPr>
          <w:rStyle w:val="14"/>
          <w:rFonts w:hint="default" w:ascii="Times New Roman" w:hAnsi="Times New Roman" w:eastAsia="仿宋" w:cs="Times New Roman"/>
          <w:b w:val="0"/>
          <w:bCs/>
          <w:sz w:val="32"/>
          <w:szCs w:val="32"/>
        </w:rPr>
      </w:pPr>
      <w:r>
        <w:rPr>
          <w:rStyle w:val="14"/>
          <w:rFonts w:hint="default" w:ascii="Times New Roman" w:hAnsi="Times New Roman" w:eastAsia="方正仿宋_GBK" w:cs="Times New Roman"/>
          <w:bCs/>
          <w:color w:val="000000"/>
          <w:sz w:val="32"/>
          <w:szCs w:val="32"/>
        </w:rPr>
        <w:t>1.</w:t>
      </w:r>
      <w:r>
        <w:rPr>
          <w:rFonts w:hint="default" w:ascii="Times New Roman" w:hAnsi="Times New Roman" w:eastAsia="方正仿宋_GBK" w:cs="Times New Roman"/>
          <w:sz w:val="32"/>
          <w:szCs w:val="32"/>
        </w:rPr>
        <w:t xml:space="preserve"> </w:t>
      </w:r>
      <w:r>
        <w:rPr>
          <w:rStyle w:val="14"/>
          <w:rFonts w:hint="default" w:ascii="Times New Roman" w:hAnsi="Times New Roman" w:eastAsia="方正仿宋_GBK" w:cs="Times New Roman"/>
          <w:bCs/>
          <w:color w:val="000000"/>
          <w:sz w:val="32"/>
          <w:szCs w:val="32"/>
        </w:rPr>
        <w:t>一般公共服务支出</w:t>
      </w:r>
      <w:r>
        <w:rPr>
          <w:rStyle w:val="14"/>
          <w:rFonts w:hint="default" w:ascii="Times New Roman" w:hAnsi="Times New Roman" w:eastAsia="方正仿宋_GBK" w:cs="Times New Roman"/>
          <w:bCs/>
          <w:color w:val="000000"/>
          <w:sz w:val="32"/>
          <w:szCs w:val="32"/>
        </w:rPr>
        <w:t>-</w:t>
      </w:r>
      <w:r>
        <w:rPr>
          <w:rStyle w:val="14"/>
          <w:rFonts w:hint="default" w:ascii="Times New Roman" w:hAnsi="Times New Roman" w:eastAsia="方正仿宋_GBK" w:cs="Times New Roman"/>
          <w:bCs/>
          <w:color w:val="000000"/>
          <w:sz w:val="32"/>
          <w:szCs w:val="32"/>
        </w:rPr>
        <w:t>群众团体事务</w:t>
      </w:r>
      <w:r>
        <w:rPr>
          <w:rStyle w:val="14"/>
          <w:rFonts w:hint="default" w:ascii="Times New Roman" w:hAnsi="Times New Roman" w:eastAsia="方正仿宋_GBK" w:cs="Times New Roman"/>
          <w:bCs/>
          <w:color w:val="000000"/>
          <w:sz w:val="32"/>
          <w:szCs w:val="32"/>
        </w:rPr>
        <w:t>-</w:t>
      </w:r>
      <w:r>
        <w:rPr>
          <w:rStyle w:val="14"/>
          <w:rFonts w:hint="default" w:ascii="Times New Roman" w:hAnsi="Times New Roman" w:eastAsia="方正仿宋_GBK" w:cs="Times New Roman"/>
          <w:bCs/>
          <w:color w:val="000000"/>
          <w:sz w:val="32"/>
          <w:szCs w:val="32"/>
        </w:rPr>
        <w:t>行政运行</w:t>
      </w:r>
      <w:r>
        <w:rPr>
          <w:rStyle w:val="14"/>
          <w:rFonts w:hint="default" w:ascii="Times New Roman" w:hAnsi="Times New Roman" w:eastAsia="方正仿宋_GBK" w:cs="Times New Roman"/>
          <w:bCs/>
          <w:color w:val="000000"/>
          <w:sz w:val="32"/>
          <w:szCs w:val="32"/>
        </w:rPr>
        <w:t xml:space="preserve">: </w:t>
      </w:r>
      <w:r>
        <w:rPr>
          <w:rStyle w:val="14"/>
          <w:rFonts w:hint="default" w:ascii="Times New Roman" w:hAnsi="Times New Roman" w:eastAsia="仿宋" w:cs="Times New Roman"/>
          <w:b w:val="0"/>
          <w:bCs/>
          <w:sz w:val="32"/>
          <w:szCs w:val="32"/>
        </w:rPr>
        <w:t>支出决算为</w:t>
      </w:r>
      <w:r>
        <w:rPr>
          <w:rStyle w:val="14"/>
          <w:rFonts w:hint="default" w:ascii="Times New Roman" w:hAnsi="Times New Roman" w:eastAsia="仿宋" w:cs="Times New Roman"/>
          <w:b w:val="0"/>
          <w:bCs/>
          <w:sz w:val="32"/>
          <w:szCs w:val="32"/>
        </w:rPr>
        <w:t>129.16</w:t>
      </w:r>
      <w:r>
        <w:rPr>
          <w:rStyle w:val="14"/>
          <w:rFonts w:hint="default" w:ascii="Times New Roman" w:hAnsi="Times New Roman" w:eastAsia="仿宋" w:cs="Times New Roman"/>
          <w:b w:val="0"/>
          <w:bCs/>
          <w:sz w:val="32"/>
          <w:szCs w:val="32"/>
        </w:rPr>
        <w:t>万元，完成预算100%。</w:t>
      </w:r>
    </w:p>
    <w:p>
      <w:pPr>
        <w:pageBreakBefore w:val="0"/>
        <w:kinsoku/>
        <w:wordWrap/>
        <w:overflowPunct/>
        <w:topLinePunct w:val="0"/>
        <w:bidi w:val="0"/>
        <w:spacing w:line="576" w:lineRule="exact"/>
        <w:ind w:firstLine="642" w:firstLineChars="200"/>
        <w:rPr>
          <w:rStyle w:val="14"/>
          <w:rFonts w:hint="default" w:ascii="Times New Roman" w:hAnsi="Times New Roman" w:eastAsia="仿宋" w:cs="Times New Roman"/>
          <w:b w:val="0"/>
          <w:bCs/>
          <w:sz w:val="32"/>
          <w:szCs w:val="32"/>
        </w:rPr>
      </w:pPr>
      <w:r>
        <w:rPr>
          <w:rStyle w:val="14"/>
          <w:rFonts w:hint="default" w:ascii="Times New Roman" w:hAnsi="Times New Roman" w:eastAsia="方正仿宋_GBK" w:cs="Times New Roman"/>
          <w:bCs/>
          <w:color w:val="000000"/>
          <w:sz w:val="32"/>
          <w:szCs w:val="32"/>
        </w:rPr>
        <w:t xml:space="preserve">2. </w:t>
      </w:r>
      <w:r>
        <w:rPr>
          <w:rStyle w:val="14"/>
          <w:rFonts w:hint="default" w:ascii="Times New Roman" w:hAnsi="Times New Roman" w:eastAsia="方正仿宋_GBK" w:cs="Times New Roman"/>
          <w:bCs/>
          <w:color w:val="000000"/>
          <w:sz w:val="32"/>
          <w:szCs w:val="32"/>
        </w:rPr>
        <w:t>一般公共服务支出</w:t>
      </w:r>
      <w:r>
        <w:rPr>
          <w:rStyle w:val="14"/>
          <w:rFonts w:hint="default" w:ascii="Times New Roman" w:hAnsi="Times New Roman" w:eastAsia="方正仿宋_GBK" w:cs="Times New Roman"/>
          <w:bCs/>
          <w:color w:val="000000"/>
          <w:sz w:val="32"/>
          <w:szCs w:val="32"/>
        </w:rPr>
        <w:t>-</w:t>
      </w:r>
      <w:r>
        <w:rPr>
          <w:rStyle w:val="14"/>
          <w:rFonts w:hint="default" w:ascii="Times New Roman" w:hAnsi="Times New Roman" w:eastAsia="方正仿宋_GBK" w:cs="Times New Roman"/>
          <w:bCs/>
          <w:color w:val="000000"/>
          <w:sz w:val="32"/>
          <w:szCs w:val="32"/>
        </w:rPr>
        <w:t>群众团体事务</w:t>
      </w:r>
      <w:r>
        <w:rPr>
          <w:rStyle w:val="14"/>
          <w:rFonts w:hint="default" w:ascii="Times New Roman" w:hAnsi="Times New Roman" w:eastAsia="方正仿宋_GBK" w:cs="Times New Roman"/>
          <w:bCs/>
          <w:color w:val="000000"/>
          <w:sz w:val="32"/>
          <w:szCs w:val="32"/>
        </w:rPr>
        <w:t>-</w:t>
      </w:r>
      <w:r>
        <w:rPr>
          <w:rFonts w:hint="default" w:ascii="Times New Roman" w:hAnsi="Times New Roman" w:eastAsia="方正仿宋_GBK" w:cs="Times New Roman"/>
          <w:sz w:val="32"/>
          <w:szCs w:val="32"/>
        </w:rPr>
        <w:t xml:space="preserve">  </w:t>
      </w:r>
      <w:r>
        <w:rPr>
          <w:rStyle w:val="14"/>
          <w:rFonts w:hint="default" w:ascii="Times New Roman" w:hAnsi="Times New Roman" w:eastAsia="方正仿宋_GBK" w:cs="Times New Roman"/>
          <w:bCs/>
          <w:color w:val="000000"/>
          <w:sz w:val="32"/>
          <w:szCs w:val="32"/>
        </w:rPr>
        <w:t>一般行政管理事务</w:t>
      </w:r>
      <w:r>
        <w:rPr>
          <w:rStyle w:val="14"/>
          <w:rFonts w:hint="default" w:ascii="Times New Roman" w:hAnsi="Times New Roman" w:eastAsia="方正仿宋_GBK" w:cs="Times New Roman"/>
          <w:bCs/>
          <w:color w:val="000000"/>
          <w:sz w:val="32"/>
          <w:szCs w:val="32"/>
        </w:rPr>
        <w:t xml:space="preserve">: </w:t>
      </w:r>
      <w:r>
        <w:rPr>
          <w:rStyle w:val="14"/>
          <w:rFonts w:hint="default" w:ascii="Times New Roman" w:hAnsi="Times New Roman" w:eastAsia="仿宋" w:cs="Times New Roman"/>
          <w:b w:val="0"/>
          <w:bCs/>
          <w:sz w:val="32"/>
          <w:szCs w:val="32"/>
        </w:rPr>
        <w:t>支出决算为</w:t>
      </w:r>
      <w:r>
        <w:rPr>
          <w:rStyle w:val="14"/>
          <w:rFonts w:hint="default" w:ascii="Times New Roman" w:hAnsi="Times New Roman" w:eastAsia="仿宋" w:cs="Times New Roman"/>
          <w:b w:val="0"/>
          <w:bCs/>
          <w:sz w:val="32"/>
          <w:szCs w:val="32"/>
        </w:rPr>
        <w:t>14.04</w:t>
      </w:r>
      <w:r>
        <w:rPr>
          <w:rStyle w:val="14"/>
          <w:rFonts w:hint="default" w:ascii="Times New Roman" w:hAnsi="Times New Roman" w:eastAsia="仿宋" w:cs="Times New Roman"/>
          <w:b w:val="0"/>
          <w:bCs/>
          <w:sz w:val="32"/>
          <w:szCs w:val="32"/>
        </w:rPr>
        <w:t>万元，完成预算100%，决算数大于预算数的主要原因是2020年项目未实施完。</w:t>
      </w:r>
    </w:p>
    <w:p>
      <w:pPr>
        <w:pStyle w:val="2"/>
        <w:pageBreakBefore w:val="0"/>
        <w:kinsoku/>
        <w:wordWrap/>
        <w:overflowPunct/>
        <w:topLinePunct w:val="0"/>
        <w:bidi w:val="0"/>
        <w:spacing w:before="93" w:line="576" w:lineRule="exact"/>
        <w:ind w:firstLine="642" w:firstLineChars="200"/>
        <w:rPr>
          <w:rStyle w:val="14"/>
          <w:rFonts w:hint="default" w:ascii="Times New Roman" w:hAnsi="Times New Roman" w:eastAsia="仿宋" w:cs="Times New Roman"/>
          <w:b w:val="0"/>
          <w:bCs/>
          <w:kern w:val="2"/>
          <w:sz w:val="32"/>
          <w:szCs w:val="32"/>
        </w:rPr>
      </w:pPr>
      <w:r>
        <w:rPr>
          <w:rStyle w:val="14"/>
          <w:rFonts w:hint="default" w:ascii="Times New Roman" w:hAnsi="Times New Roman" w:eastAsia="方正仿宋_GBK" w:cs="Times New Roman"/>
          <w:bCs/>
          <w:color w:val="000000"/>
          <w:sz w:val="32"/>
          <w:szCs w:val="32"/>
        </w:rPr>
        <w:t xml:space="preserve">3. </w:t>
      </w:r>
      <w:r>
        <w:rPr>
          <w:rStyle w:val="14"/>
          <w:rFonts w:hint="default" w:ascii="Times New Roman" w:hAnsi="Times New Roman" w:eastAsia="方正仿宋_GBK" w:cs="Times New Roman"/>
          <w:bCs/>
          <w:color w:val="000000"/>
          <w:sz w:val="32"/>
          <w:szCs w:val="32"/>
        </w:rPr>
        <w:t>一般公共服务支出</w:t>
      </w:r>
      <w:r>
        <w:rPr>
          <w:rStyle w:val="14"/>
          <w:rFonts w:hint="default" w:ascii="Times New Roman" w:hAnsi="Times New Roman" w:eastAsia="方正仿宋_GBK" w:cs="Times New Roman"/>
          <w:bCs/>
          <w:color w:val="000000"/>
          <w:sz w:val="32"/>
          <w:szCs w:val="32"/>
        </w:rPr>
        <w:t>-</w:t>
      </w:r>
      <w:r>
        <w:rPr>
          <w:rStyle w:val="14"/>
          <w:rFonts w:hint="default" w:ascii="Times New Roman" w:hAnsi="Times New Roman" w:eastAsia="方正仿宋_GBK" w:cs="Times New Roman"/>
          <w:bCs/>
          <w:color w:val="000000"/>
          <w:sz w:val="32"/>
          <w:szCs w:val="32"/>
        </w:rPr>
        <w:t>群众团体事务</w:t>
      </w:r>
      <w:r>
        <w:rPr>
          <w:rStyle w:val="14"/>
          <w:rFonts w:hint="default" w:ascii="Times New Roman" w:hAnsi="Times New Roman" w:eastAsia="方正仿宋_GBK" w:cs="Times New Roman"/>
          <w:bCs/>
          <w:color w:val="000000"/>
          <w:sz w:val="32"/>
          <w:szCs w:val="32"/>
        </w:rPr>
        <w:t>-</w:t>
      </w:r>
      <w:r>
        <w:rPr>
          <w:rFonts w:hint="default" w:ascii="Times New Roman" w:hAnsi="Times New Roman" w:eastAsia="方正仿宋_GBK" w:cs="Times New Roman"/>
          <w:sz w:val="32"/>
          <w:szCs w:val="32"/>
        </w:rPr>
        <w:t>其他群众团体事务支出</w:t>
      </w:r>
      <w:r>
        <w:rPr>
          <w:rStyle w:val="14"/>
          <w:rFonts w:hint="default" w:ascii="Times New Roman" w:hAnsi="Times New Roman" w:eastAsia="方正仿宋_GBK" w:cs="Times New Roman"/>
          <w:bCs/>
          <w:color w:val="000000"/>
          <w:sz w:val="32"/>
          <w:szCs w:val="32"/>
        </w:rPr>
        <w:t xml:space="preserve">: </w:t>
      </w:r>
      <w:r>
        <w:rPr>
          <w:rStyle w:val="14"/>
          <w:rFonts w:hint="default" w:ascii="Times New Roman" w:hAnsi="Times New Roman" w:eastAsia="仿宋" w:cs="Times New Roman"/>
          <w:b w:val="0"/>
          <w:bCs/>
          <w:kern w:val="2"/>
          <w:sz w:val="32"/>
          <w:szCs w:val="32"/>
        </w:rPr>
        <w:t>支出决算为</w:t>
      </w:r>
      <w:r>
        <w:rPr>
          <w:rStyle w:val="14"/>
          <w:rFonts w:hint="default" w:ascii="Times New Roman" w:hAnsi="Times New Roman" w:eastAsia="仿宋" w:cs="Times New Roman"/>
          <w:b w:val="0"/>
          <w:bCs/>
          <w:kern w:val="2"/>
          <w:sz w:val="32"/>
          <w:szCs w:val="32"/>
        </w:rPr>
        <w:t>36.8</w:t>
      </w:r>
      <w:r>
        <w:rPr>
          <w:rStyle w:val="14"/>
          <w:rFonts w:hint="default" w:ascii="Times New Roman" w:hAnsi="Times New Roman" w:eastAsia="仿宋" w:cs="Times New Roman"/>
          <w:b w:val="0"/>
          <w:bCs/>
          <w:kern w:val="2"/>
          <w:sz w:val="32"/>
          <w:szCs w:val="32"/>
        </w:rPr>
        <w:t>万元，完成预算100%。</w:t>
      </w:r>
    </w:p>
    <w:p>
      <w:pPr>
        <w:pageBreakBefore w:val="0"/>
        <w:kinsoku/>
        <w:wordWrap/>
        <w:overflowPunct/>
        <w:topLinePunct w:val="0"/>
        <w:bidi w:val="0"/>
        <w:spacing w:line="576" w:lineRule="exact"/>
        <w:ind w:firstLine="642" w:firstLineChars="200"/>
        <w:rPr>
          <w:rStyle w:val="14"/>
          <w:rFonts w:hint="default" w:ascii="Times New Roman" w:hAnsi="Times New Roman" w:eastAsia="仿宋" w:cs="Times New Roman"/>
          <w:b w:val="0"/>
          <w:bCs/>
          <w:sz w:val="32"/>
          <w:szCs w:val="32"/>
        </w:rPr>
      </w:pPr>
      <w:r>
        <w:rPr>
          <w:rStyle w:val="14"/>
          <w:rFonts w:hint="default" w:ascii="Times New Roman" w:hAnsi="Times New Roman" w:eastAsia="方正仿宋_GBK" w:cs="Times New Roman"/>
          <w:bCs/>
          <w:color w:val="000000"/>
          <w:sz w:val="32"/>
          <w:szCs w:val="32"/>
        </w:rPr>
        <w:t>4.</w:t>
      </w:r>
      <w:r>
        <w:rPr>
          <w:rFonts w:hint="default" w:ascii="Times New Roman" w:hAnsi="Times New Roman" w:eastAsia="方正仿宋_GBK" w:cs="Times New Roman"/>
          <w:sz w:val="32"/>
          <w:szCs w:val="32"/>
        </w:rPr>
        <w:t xml:space="preserve"> </w:t>
      </w:r>
      <w:r>
        <w:rPr>
          <w:rStyle w:val="14"/>
          <w:rFonts w:hint="default" w:ascii="Times New Roman" w:hAnsi="Times New Roman" w:eastAsia="方正仿宋_GBK" w:cs="Times New Roman"/>
          <w:bCs/>
          <w:color w:val="000000"/>
          <w:sz w:val="32"/>
          <w:szCs w:val="32"/>
        </w:rPr>
        <w:t>社会保障和就业支出</w:t>
      </w:r>
      <w:r>
        <w:rPr>
          <w:rStyle w:val="14"/>
          <w:rFonts w:hint="default" w:ascii="Times New Roman" w:hAnsi="Times New Roman" w:eastAsia="方正仿宋_GBK" w:cs="Times New Roman"/>
          <w:bCs/>
          <w:color w:val="000000"/>
          <w:sz w:val="32"/>
          <w:szCs w:val="32"/>
        </w:rPr>
        <w:t>-</w:t>
      </w:r>
      <w:r>
        <w:rPr>
          <w:rStyle w:val="14"/>
          <w:rFonts w:hint="default" w:ascii="Times New Roman" w:hAnsi="Times New Roman" w:eastAsia="方正仿宋_GBK" w:cs="Times New Roman"/>
          <w:bCs/>
          <w:color w:val="000000"/>
          <w:sz w:val="32"/>
          <w:szCs w:val="32"/>
        </w:rPr>
        <w:t>行政事业单位离退休</w:t>
      </w:r>
      <w:r>
        <w:rPr>
          <w:rStyle w:val="14"/>
          <w:rFonts w:hint="default" w:ascii="Times New Roman" w:hAnsi="Times New Roman" w:eastAsia="方正仿宋_GBK" w:cs="Times New Roman"/>
          <w:bCs/>
          <w:color w:val="000000"/>
          <w:sz w:val="32"/>
          <w:szCs w:val="32"/>
        </w:rPr>
        <w:t>-</w:t>
      </w:r>
      <w:r>
        <w:rPr>
          <w:rStyle w:val="14"/>
          <w:rFonts w:hint="default" w:ascii="Times New Roman" w:hAnsi="Times New Roman" w:eastAsia="方正仿宋_GBK" w:cs="Times New Roman"/>
          <w:bCs/>
          <w:color w:val="000000"/>
          <w:sz w:val="32"/>
          <w:szCs w:val="32"/>
        </w:rPr>
        <w:t>机关事业单位基本养老保险缴费支出</w:t>
      </w:r>
      <w:r>
        <w:rPr>
          <w:rStyle w:val="14"/>
          <w:rFonts w:hint="default" w:ascii="Times New Roman" w:hAnsi="Times New Roman" w:eastAsia="方正仿宋_GBK" w:cs="Times New Roman"/>
          <w:bCs/>
          <w:color w:val="000000"/>
          <w:sz w:val="32"/>
          <w:szCs w:val="32"/>
        </w:rPr>
        <w:t xml:space="preserve">: </w:t>
      </w:r>
      <w:r>
        <w:rPr>
          <w:rStyle w:val="14"/>
          <w:rFonts w:hint="default" w:ascii="Times New Roman" w:hAnsi="Times New Roman" w:eastAsia="仿宋" w:cs="Times New Roman"/>
          <w:b w:val="0"/>
          <w:bCs/>
          <w:sz w:val="32"/>
          <w:szCs w:val="32"/>
        </w:rPr>
        <w:t>支出决算为</w:t>
      </w:r>
      <w:r>
        <w:rPr>
          <w:rStyle w:val="14"/>
          <w:rFonts w:hint="default" w:ascii="Times New Roman" w:hAnsi="Times New Roman" w:eastAsia="仿宋" w:cs="Times New Roman"/>
          <w:b w:val="0"/>
          <w:bCs/>
          <w:sz w:val="32"/>
          <w:szCs w:val="32"/>
        </w:rPr>
        <w:t>10.6</w:t>
      </w:r>
      <w:r>
        <w:rPr>
          <w:rStyle w:val="14"/>
          <w:rFonts w:hint="default" w:ascii="Times New Roman" w:hAnsi="Times New Roman" w:eastAsia="仿宋" w:cs="Times New Roman"/>
          <w:b w:val="0"/>
          <w:bCs/>
          <w:sz w:val="32"/>
          <w:szCs w:val="32"/>
        </w:rPr>
        <w:t>万元，完成预算100%。</w:t>
      </w:r>
    </w:p>
    <w:p>
      <w:pPr>
        <w:pageBreakBefore w:val="0"/>
        <w:kinsoku/>
        <w:wordWrap/>
        <w:overflowPunct/>
        <w:topLinePunct w:val="0"/>
        <w:bidi w:val="0"/>
        <w:spacing w:line="576" w:lineRule="exact"/>
        <w:ind w:firstLine="642" w:firstLineChars="200"/>
        <w:rPr>
          <w:rStyle w:val="14"/>
          <w:rFonts w:hint="default" w:ascii="Times New Roman" w:hAnsi="Times New Roman" w:eastAsia="仿宋" w:cs="Times New Roman"/>
          <w:b w:val="0"/>
          <w:bCs/>
          <w:sz w:val="32"/>
          <w:szCs w:val="32"/>
        </w:rPr>
      </w:pPr>
      <w:r>
        <w:rPr>
          <w:rStyle w:val="14"/>
          <w:rFonts w:hint="default" w:ascii="Times New Roman" w:hAnsi="Times New Roman" w:eastAsia="方正仿宋_GBK" w:cs="Times New Roman"/>
          <w:bCs/>
          <w:color w:val="000000"/>
          <w:sz w:val="32"/>
          <w:szCs w:val="32"/>
        </w:rPr>
        <w:t xml:space="preserve">5. </w:t>
      </w:r>
      <w:r>
        <w:rPr>
          <w:rStyle w:val="14"/>
          <w:rFonts w:hint="default" w:ascii="Times New Roman" w:hAnsi="Times New Roman" w:eastAsia="方正仿宋_GBK" w:cs="Times New Roman"/>
          <w:bCs/>
          <w:color w:val="000000"/>
          <w:sz w:val="32"/>
          <w:szCs w:val="32"/>
        </w:rPr>
        <w:t>社会保障和就业支出</w:t>
      </w:r>
      <w:r>
        <w:rPr>
          <w:rStyle w:val="14"/>
          <w:rFonts w:hint="default" w:ascii="Times New Roman" w:hAnsi="Times New Roman" w:eastAsia="方正仿宋_GBK" w:cs="Times New Roman"/>
          <w:bCs/>
          <w:color w:val="000000"/>
          <w:sz w:val="32"/>
          <w:szCs w:val="32"/>
        </w:rPr>
        <w:t>-</w:t>
      </w:r>
      <w:r>
        <w:rPr>
          <w:rStyle w:val="14"/>
          <w:rFonts w:hint="default" w:ascii="Times New Roman" w:hAnsi="Times New Roman" w:eastAsia="方正仿宋_GBK" w:cs="Times New Roman"/>
          <w:bCs/>
          <w:color w:val="000000"/>
          <w:sz w:val="32"/>
          <w:szCs w:val="32"/>
        </w:rPr>
        <w:t>行政事业单位离退休</w:t>
      </w:r>
      <w:r>
        <w:rPr>
          <w:rStyle w:val="14"/>
          <w:rFonts w:hint="default" w:ascii="Times New Roman" w:hAnsi="Times New Roman" w:eastAsia="方正仿宋_GBK" w:cs="Times New Roman"/>
          <w:bCs/>
          <w:color w:val="000000"/>
          <w:sz w:val="32"/>
          <w:szCs w:val="32"/>
        </w:rPr>
        <w:t>-</w:t>
      </w:r>
      <w:r>
        <w:rPr>
          <w:rStyle w:val="14"/>
          <w:rFonts w:hint="default" w:ascii="Times New Roman" w:hAnsi="Times New Roman" w:eastAsia="方正仿宋_GBK" w:cs="Times New Roman"/>
          <w:bCs/>
          <w:color w:val="000000"/>
          <w:sz w:val="32"/>
          <w:szCs w:val="32"/>
        </w:rPr>
        <w:t>行政单位离退休</w:t>
      </w:r>
      <w:r>
        <w:rPr>
          <w:rStyle w:val="14"/>
          <w:rFonts w:hint="default" w:ascii="Times New Roman" w:hAnsi="Times New Roman" w:eastAsia="方正仿宋_GBK" w:cs="Times New Roman"/>
          <w:bCs/>
          <w:color w:val="000000"/>
          <w:sz w:val="32"/>
          <w:szCs w:val="32"/>
        </w:rPr>
        <w:t xml:space="preserve">: </w:t>
      </w:r>
      <w:r>
        <w:rPr>
          <w:rStyle w:val="14"/>
          <w:rFonts w:hint="default" w:ascii="Times New Roman" w:hAnsi="Times New Roman" w:eastAsia="仿宋" w:cs="Times New Roman"/>
          <w:b w:val="0"/>
          <w:bCs/>
          <w:sz w:val="32"/>
          <w:szCs w:val="32"/>
        </w:rPr>
        <w:t>支出决算为</w:t>
      </w:r>
      <w:r>
        <w:rPr>
          <w:rStyle w:val="14"/>
          <w:rFonts w:hint="default" w:ascii="Times New Roman" w:hAnsi="Times New Roman" w:eastAsia="仿宋" w:cs="Times New Roman"/>
          <w:b w:val="0"/>
          <w:bCs/>
          <w:sz w:val="32"/>
          <w:szCs w:val="32"/>
        </w:rPr>
        <w:t>3.54</w:t>
      </w:r>
      <w:r>
        <w:rPr>
          <w:rStyle w:val="14"/>
          <w:rFonts w:hint="default" w:ascii="Times New Roman" w:hAnsi="Times New Roman" w:eastAsia="仿宋" w:cs="Times New Roman"/>
          <w:b w:val="0"/>
          <w:bCs/>
          <w:sz w:val="32"/>
          <w:szCs w:val="32"/>
        </w:rPr>
        <w:t>万元，完成预算100%。</w:t>
      </w:r>
    </w:p>
    <w:p>
      <w:pPr>
        <w:pageBreakBefore w:val="0"/>
        <w:kinsoku/>
        <w:wordWrap/>
        <w:overflowPunct/>
        <w:topLinePunct w:val="0"/>
        <w:bidi w:val="0"/>
        <w:spacing w:line="576" w:lineRule="exact"/>
        <w:ind w:firstLine="642" w:firstLineChars="200"/>
        <w:rPr>
          <w:rStyle w:val="14"/>
          <w:rFonts w:hint="default" w:ascii="Times New Roman" w:hAnsi="Times New Roman" w:eastAsia="仿宋" w:cs="Times New Roman"/>
          <w:b w:val="0"/>
          <w:bCs/>
          <w:sz w:val="32"/>
          <w:szCs w:val="32"/>
        </w:rPr>
      </w:pPr>
      <w:r>
        <w:rPr>
          <w:rStyle w:val="14"/>
          <w:rFonts w:hint="default" w:ascii="Times New Roman" w:hAnsi="Times New Roman" w:eastAsia="方正仿宋_GBK" w:cs="Times New Roman"/>
          <w:bCs/>
          <w:color w:val="000000"/>
          <w:sz w:val="32"/>
          <w:szCs w:val="32"/>
        </w:rPr>
        <w:t xml:space="preserve">6. </w:t>
      </w:r>
      <w:r>
        <w:rPr>
          <w:rStyle w:val="14"/>
          <w:rFonts w:hint="default" w:ascii="Times New Roman" w:hAnsi="Times New Roman" w:eastAsia="方正仿宋_GBK" w:cs="Times New Roman"/>
          <w:bCs/>
          <w:color w:val="000000"/>
          <w:sz w:val="32"/>
          <w:szCs w:val="32"/>
        </w:rPr>
        <w:t>社会保障和就业支出</w:t>
      </w:r>
      <w:r>
        <w:rPr>
          <w:rStyle w:val="14"/>
          <w:rFonts w:hint="default" w:ascii="Times New Roman" w:hAnsi="Times New Roman" w:eastAsia="方正仿宋_GBK" w:cs="Times New Roman"/>
          <w:bCs/>
          <w:color w:val="000000"/>
          <w:sz w:val="32"/>
          <w:szCs w:val="32"/>
        </w:rPr>
        <w:t>-</w:t>
      </w:r>
      <w:r>
        <w:rPr>
          <w:rStyle w:val="14"/>
          <w:rFonts w:hint="default" w:ascii="Times New Roman" w:hAnsi="Times New Roman" w:eastAsia="方正仿宋_GBK" w:cs="Times New Roman"/>
          <w:bCs/>
          <w:color w:val="000000"/>
          <w:sz w:val="32"/>
          <w:szCs w:val="32"/>
        </w:rPr>
        <w:t>行政事业单位离退休</w:t>
      </w:r>
      <w:r>
        <w:rPr>
          <w:rStyle w:val="14"/>
          <w:rFonts w:hint="default" w:ascii="Times New Roman" w:hAnsi="Times New Roman" w:eastAsia="方正仿宋_GBK" w:cs="Times New Roman"/>
          <w:bCs/>
          <w:color w:val="000000"/>
          <w:sz w:val="32"/>
          <w:szCs w:val="32"/>
        </w:rPr>
        <w:t>-</w:t>
      </w:r>
      <w:r>
        <w:rPr>
          <w:rStyle w:val="14"/>
          <w:rFonts w:hint="default" w:ascii="Times New Roman" w:hAnsi="Times New Roman" w:eastAsia="方正仿宋_GBK" w:cs="Times New Roman"/>
          <w:bCs/>
          <w:color w:val="000000"/>
          <w:sz w:val="32"/>
          <w:szCs w:val="32"/>
        </w:rPr>
        <w:t>其他行政事业单位离退休支出</w:t>
      </w:r>
      <w:r>
        <w:rPr>
          <w:rStyle w:val="14"/>
          <w:rFonts w:hint="default" w:ascii="Times New Roman" w:hAnsi="Times New Roman" w:eastAsia="方正仿宋_GBK" w:cs="Times New Roman"/>
          <w:bCs/>
          <w:color w:val="000000"/>
          <w:sz w:val="32"/>
          <w:szCs w:val="32"/>
        </w:rPr>
        <w:t xml:space="preserve">: </w:t>
      </w:r>
      <w:r>
        <w:rPr>
          <w:rStyle w:val="14"/>
          <w:rFonts w:hint="default" w:ascii="Times New Roman" w:hAnsi="Times New Roman" w:eastAsia="仿宋" w:cs="Times New Roman"/>
          <w:b w:val="0"/>
          <w:bCs/>
          <w:sz w:val="32"/>
          <w:szCs w:val="32"/>
        </w:rPr>
        <w:t>支出决算为</w:t>
      </w:r>
      <w:r>
        <w:rPr>
          <w:rStyle w:val="14"/>
          <w:rFonts w:hint="default" w:ascii="Times New Roman" w:hAnsi="Times New Roman" w:eastAsia="仿宋" w:cs="Times New Roman"/>
          <w:b w:val="0"/>
          <w:bCs/>
          <w:sz w:val="32"/>
          <w:szCs w:val="32"/>
        </w:rPr>
        <w:t>0.3</w:t>
      </w:r>
      <w:r>
        <w:rPr>
          <w:rStyle w:val="14"/>
          <w:rFonts w:hint="default" w:ascii="Times New Roman" w:hAnsi="Times New Roman" w:eastAsia="仿宋" w:cs="Times New Roman"/>
          <w:b w:val="0"/>
          <w:bCs/>
          <w:sz w:val="32"/>
          <w:szCs w:val="32"/>
        </w:rPr>
        <w:t>万元，完成预算100%。</w:t>
      </w:r>
    </w:p>
    <w:p>
      <w:pPr>
        <w:pageBreakBefore w:val="0"/>
        <w:kinsoku/>
        <w:wordWrap/>
        <w:overflowPunct/>
        <w:topLinePunct w:val="0"/>
        <w:bidi w:val="0"/>
        <w:spacing w:line="576" w:lineRule="exact"/>
        <w:ind w:firstLine="642" w:firstLineChars="200"/>
        <w:rPr>
          <w:rFonts w:hint="default" w:ascii="Times New Roman" w:hAnsi="Times New Roman" w:eastAsia="方正仿宋_GBK" w:cs="Times New Roman"/>
          <w:b/>
          <w:color w:val="000000"/>
          <w:sz w:val="32"/>
          <w:szCs w:val="32"/>
        </w:rPr>
      </w:pPr>
      <w:r>
        <w:rPr>
          <w:rStyle w:val="14"/>
          <w:rFonts w:hint="default" w:ascii="Times New Roman" w:hAnsi="Times New Roman" w:eastAsia="方正仿宋_GBK" w:cs="Times New Roman"/>
          <w:bCs/>
          <w:color w:val="000000"/>
          <w:sz w:val="32"/>
          <w:szCs w:val="32"/>
        </w:rPr>
        <w:t>7.</w:t>
      </w:r>
      <w:r>
        <w:rPr>
          <w:rFonts w:hint="default" w:ascii="Times New Roman" w:hAnsi="Times New Roman" w:eastAsia="方正仿宋_GBK" w:cs="Times New Roman"/>
          <w:sz w:val="32"/>
          <w:szCs w:val="32"/>
        </w:rPr>
        <w:t xml:space="preserve"> </w:t>
      </w:r>
      <w:r>
        <w:rPr>
          <w:rStyle w:val="14"/>
          <w:rFonts w:hint="default" w:ascii="Times New Roman" w:hAnsi="Times New Roman" w:eastAsia="方正仿宋_GBK" w:cs="Times New Roman"/>
          <w:bCs/>
          <w:color w:val="000000"/>
          <w:sz w:val="32"/>
          <w:szCs w:val="32"/>
        </w:rPr>
        <w:t>医疗卫生与计划生育支出</w:t>
      </w:r>
      <w:r>
        <w:rPr>
          <w:rStyle w:val="14"/>
          <w:rFonts w:hint="default" w:ascii="Times New Roman" w:hAnsi="Times New Roman" w:eastAsia="方正仿宋_GBK" w:cs="Times New Roman"/>
          <w:bCs/>
          <w:color w:val="000000"/>
          <w:sz w:val="32"/>
          <w:szCs w:val="32"/>
        </w:rPr>
        <w:t>-</w:t>
      </w:r>
      <w:r>
        <w:rPr>
          <w:rStyle w:val="14"/>
          <w:rFonts w:hint="default" w:ascii="Times New Roman" w:hAnsi="Times New Roman" w:eastAsia="方正仿宋_GBK" w:cs="Times New Roman"/>
          <w:bCs/>
          <w:color w:val="000000"/>
          <w:sz w:val="32"/>
          <w:szCs w:val="32"/>
        </w:rPr>
        <w:t>行政事业单位医疗</w:t>
      </w:r>
      <w:r>
        <w:rPr>
          <w:rStyle w:val="14"/>
          <w:rFonts w:hint="default" w:ascii="Times New Roman" w:hAnsi="Times New Roman" w:eastAsia="方正仿宋_GBK" w:cs="Times New Roman"/>
          <w:bCs/>
          <w:color w:val="000000"/>
          <w:sz w:val="32"/>
          <w:szCs w:val="32"/>
        </w:rPr>
        <w:t>-</w:t>
      </w:r>
      <w:r>
        <w:rPr>
          <w:rStyle w:val="14"/>
          <w:rFonts w:hint="default" w:ascii="Times New Roman" w:hAnsi="Times New Roman" w:eastAsia="方正仿宋_GBK" w:cs="Times New Roman"/>
          <w:bCs/>
          <w:color w:val="000000"/>
          <w:sz w:val="32"/>
          <w:szCs w:val="32"/>
        </w:rPr>
        <w:t>行政单位医疗</w:t>
      </w:r>
      <w:r>
        <w:rPr>
          <w:rStyle w:val="14"/>
          <w:rFonts w:hint="default" w:ascii="Times New Roman" w:hAnsi="Times New Roman" w:eastAsia="方正仿宋_GBK" w:cs="Times New Roman"/>
          <w:bCs/>
          <w:color w:val="000000"/>
          <w:sz w:val="32"/>
          <w:szCs w:val="32"/>
        </w:rPr>
        <w:t xml:space="preserve">: </w:t>
      </w:r>
      <w:r>
        <w:rPr>
          <w:rStyle w:val="14"/>
          <w:rFonts w:hint="default" w:ascii="Times New Roman" w:hAnsi="Times New Roman" w:eastAsia="仿宋" w:cs="Times New Roman"/>
          <w:b w:val="0"/>
          <w:bCs/>
          <w:sz w:val="32"/>
          <w:szCs w:val="32"/>
        </w:rPr>
        <w:t>支出决算为</w:t>
      </w:r>
      <w:r>
        <w:rPr>
          <w:rStyle w:val="14"/>
          <w:rFonts w:hint="default" w:ascii="Times New Roman" w:hAnsi="Times New Roman" w:eastAsia="仿宋" w:cs="Times New Roman"/>
          <w:b w:val="0"/>
          <w:bCs/>
          <w:sz w:val="32"/>
          <w:szCs w:val="32"/>
        </w:rPr>
        <w:t>6</w:t>
      </w:r>
      <w:r>
        <w:rPr>
          <w:rStyle w:val="14"/>
          <w:rFonts w:hint="default" w:ascii="Times New Roman" w:hAnsi="Times New Roman" w:eastAsia="仿宋" w:cs="Times New Roman"/>
          <w:b w:val="0"/>
          <w:bCs/>
          <w:sz w:val="32"/>
          <w:szCs w:val="32"/>
        </w:rPr>
        <w:t>万元，完成预算100%。</w:t>
      </w:r>
    </w:p>
    <w:p>
      <w:pPr>
        <w:pageBreakBefore w:val="0"/>
        <w:kinsoku/>
        <w:wordWrap/>
        <w:overflowPunct/>
        <w:topLinePunct w:val="0"/>
        <w:bidi w:val="0"/>
        <w:spacing w:line="576" w:lineRule="exact"/>
        <w:ind w:firstLine="642" w:firstLineChars="200"/>
        <w:rPr>
          <w:rStyle w:val="14"/>
          <w:rFonts w:hint="default" w:ascii="Times New Roman" w:hAnsi="Times New Roman" w:eastAsia="仿宋" w:cs="Times New Roman"/>
          <w:b w:val="0"/>
          <w:bCs/>
          <w:sz w:val="32"/>
          <w:szCs w:val="32"/>
        </w:rPr>
      </w:pPr>
      <w:r>
        <w:rPr>
          <w:rStyle w:val="14"/>
          <w:rFonts w:hint="default" w:ascii="Times New Roman" w:hAnsi="Times New Roman" w:eastAsia="方正仿宋_GBK" w:cs="Times New Roman"/>
          <w:bCs/>
          <w:color w:val="000000"/>
          <w:sz w:val="32"/>
          <w:szCs w:val="32"/>
        </w:rPr>
        <w:t>8.</w:t>
      </w:r>
      <w:r>
        <w:rPr>
          <w:rStyle w:val="14"/>
          <w:rFonts w:hint="default" w:ascii="Times New Roman" w:hAnsi="Times New Roman" w:eastAsia="方正仿宋_GBK" w:cs="Times New Roman"/>
          <w:bCs/>
          <w:color w:val="000000"/>
          <w:sz w:val="32"/>
          <w:szCs w:val="32"/>
        </w:rPr>
        <w:t>医疗卫生与计划生育支出</w:t>
      </w:r>
      <w:r>
        <w:rPr>
          <w:rStyle w:val="14"/>
          <w:rFonts w:hint="default" w:ascii="Times New Roman" w:hAnsi="Times New Roman" w:eastAsia="方正仿宋_GBK" w:cs="Times New Roman"/>
          <w:bCs/>
          <w:color w:val="000000"/>
          <w:sz w:val="32"/>
          <w:szCs w:val="32"/>
        </w:rPr>
        <w:t>-</w:t>
      </w:r>
      <w:r>
        <w:rPr>
          <w:rStyle w:val="14"/>
          <w:rFonts w:hint="default" w:ascii="Times New Roman" w:hAnsi="Times New Roman" w:eastAsia="方正仿宋_GBK" w:cs="Times New Roman"/>
          <w:bCs/>
          <w:color w:val="000000"/>
          <w:sz w:val="32"/>
          <w:szCs w:val="32"/>
        </w:rPr>
        <w:t>行政事业单位医疗</w:t>
      </w:r>
      <w:r>
        <w:rPr>
          <w:rStyle w:val="14"/>
          <w:rFonts w:hint="default" w:ascii="Times New Roman" w:hAnsi="Times New Roman" w:eastAsia="方正仿宋_GBK" w:cs="Times New Roman"/>
          <w:bCs/>
          <w:color w:val="000000"/>
          <w:sz w:val="32"/>
          <w:szCs w:val="32"/>
        </w:rPr>
        <w:t>-</w:t>
      </w:r>
      <w:r>
        <w:rPr>
          <w:rStyle w:val="14"/>
          <w:rFonts w:hint="default" w:ascii="Times New Roman" w:hAnsi="Times New Roman" w:eastAsia="方正仿宋_GBK" w:cs="Times New Roman"/>
          <w:bCs/>
          <w:color w:val="000000"/>
          <w:sz w:val="32"/>
          <w:szCs w:val="32"/>
        </w:rPr>
        <w:t>公务员医疗补助</w:t>
      </w:r>
      <w:r>
        <w:rPr>
          <w:rStyle w:val="14"/>
          <w:rFonts w:hint="default" w:ascii="Times New Roman" w:hAnsi="Times New Roman" w:eastAsia="方正仿宋_GBK" w:cs="Times New Roman"/>
          <w:bCs/>
          <w:color w:val="000000"/>
          <w:sz w:val="32"/>
          <w:szCs w:val="32"/>
        </w:rPr>
        <w:t>:</w:t>
      </w:r>
      <w:r>
        <w:rPr>
          <w:rStyle w:val="14"/>
          <w:rFonts w:hint="default" w:ascii="Times New Roman" w:hAnsi="Times New Roman" w:eastAsia="仿宋" w:cs="Times New Roman"/>
          <w:b w:val="0"/>
          <w:bCs/>
          <w:sz w:val="32"/>
          <w:szCs w:val="32"/>
        </w:rPr>
        <w:t>支出决算为1.2万元，完成预算100%。</w:t>
      </w:r>
    </w:p>
    <w:p>
      <w:pPr>
        <w:pageBreakBefore w:val="0"/>
        <w:kinsoku/>
        <w:wordWrap/>
        <w:overflowPunct/>
        <w:topLinePunct w:val="0"/>
        <w:bidi w:val="0"/>
        <w:spacing w:line="576" w:lineRule="exact"/>
        <w:ind w:firstLine="642" w:firstLineChars="200"/>
        <w:rPr>
          <w:rFonts w:hint="default" w:ascii="Times New Roman" w:hAnsi="Times New Roman" w:eastAsia="仿宋" w:cs="Times New Roman"/>
          <w:b/>
          <w:sz w:val="32"/>
          <w:szCs w:val="32"/>
        </w:rPr>
      </w:pPr>
      <w:r>
        <w:rPr>
          <w:rStyle w:val="14"/>
          <w:rFonts w:hint="default" w:ascii="Times New Roman" w:hAnsi="Times New Roman" w:eastAsia="方正仿宋_GBK" w:cs="Times New Roman"/>
          <w:bCs/>
          <w:color w:val="000000"/>
          <w:sz w:val="32"/>
          <w:szCs w:val="32"/>
        </w:rPr>
        <w:t>8.</w:t>
      </w:r>
      <w:r>
        <w:rPr>
          <w:rStyle w:val="14"/>
          <w:rFonts w:hint="default" w:ascii="Times New Roman" w:hAnsi="Times New Roman" w:eastAsia="方正仿宋_GBK" w:cs="Times New Roman"/>
          <w:bCs/>
          <w:color w:val="000000"/>
          <w:sz w:val="32"/>
          <w:szCs w:val="32"/>
        </w:rPr>
        <w:t>住房保障支出</w:t>
      </w:r>
      <w:r>
        <w:rPr>
          <w:rStyle w:val="14"/>
          <w:rFonts w:hint="default" w:ascii="Times New Roman" w:hAnsi="Times New Roman" w:eastAsia="方正仿宋_GBK" w:cs="Times New Roman"/>
          <w:bCs/>
          <w:color w:val="000000"/>
          <w:sz w:val="32"/>
          <w:szCs w:val="32"/>
        </w:rPr>
        <w:t>-</w:t>
      </w:r>
      <w:r>
        <w:rPr>
          <w:rStyle w:val="14"/>
          <w:rFonts w:hint="default" w:ascii="Times New Roman" w:hAnsi="Times New Roman" w:eastAsia="方正仿宋_GBK" w:cs="Times New Roman"/>
          <w:bCs/>
          <w:color w:val="000000"/>
          <w:sz w:val="32"/>
          <w:szCs w:val="32"/>
        </w:rPr>
        <w:t>住房改革支出</w:t>
      </w:r>
      <w:r>
        <w:rPr>
          <w:rStyle w:val="14"/>
          <w:rFonts w:hint="default" w:ascii="Times New Roman" w:hAnsi="Times New Roman" w:eastAsia="方正仿宋_GBK" w:cs="Times New Roman"/>
          <w:bCs/>
          <w:color w:val="000000"/>
          <w:sz w:val="32"/>
          <w:szCs w:val="32"/>
        </w:rPr>
        <w:t>-</w:t>
      </w:r>
      <w:r>
        <w:rPr>
          <w:rStyle w:val="14"/>
          <w:rFonts w:hint="default" w:ascii="Times New Roman" w:hAnsi="Times New Roman" w:eastAsia="方正仿宋_GBK" w:cs="Times New Roman"/>
          <w:bCs/>
          <w:color w:val="000000"/>
          <w:sz w:val="32"/>
          <w:szCs w:val="32"/>
        </w:rPr>
        <w:t>住房公积金：</w:t>
      </w:r>
      <w:r>
        <w:rPr>
          <w:rStyle w:val="14"/>
          <w:rFonts w:hint="default" w:ascii="Times New Roman" w:hAnsi="Times New Roman" w:eastAsia="仿宋" w:cs="Times New Roman"/>
          <w:b w:val="0"/>
          <w:bCs/>
          <w:sz w:val="32"/>
          <w:szCs w:val="32"/>
        </w:rPr>
        <w:t>支出决算为8万元，完成预算100%。</w:t>
      </w:r>
      <w:r>
        <w:rPr>
          <w:rFonts w:hint="default" w:ascii="Times New Roman" w:hAnsi="Times New Roman" w:eastAsia="仿宋" w:cs="Times New Roman"/>
          <w:b/>
          <w:sz w:val="32"/>
          <w:szCs w:val="32"/>
        </w:rPr>
        <w:t>（注：数据来源于财决</w:t>
      </w:r>
      <w:r>
        <w:rPr>
          <w:rFonts w:hint="default" w:ascii="Times New Roman" w:hAnsi="Times New Roman" w:eastAsia="仿宋" w:cs="Times New Roman"/>
          <w:b/>
          <w:sz w:val="32"/>
          <w:szCs w:val="32"/>
        </w:rPr>
        <w:t>0</w:t>
      </w:r>
      <w:r>
        <w:rPr>
          <w:rFonts w:hint="default" w:ascii="Times New Roman" w:hAnsi="Times New Roman" w:eastAsia="仿宋" w:cs="Times New Roman"/>
          <w:b/>
          <w:sz w:val="32"/>
          <w:szCs w:val="32"/>
        </w:rPr>
        <w:t>1-1表和财决08表，仅罗列本部门涉及的全部功能分类科目，至项级。上述“预算”口径为调整预算数。增减变动原因为决算数</w:t>
      </w:r>
      <w:r>
        <w:rPr>
          <w:rFonts w:hint="default" w:ascii="Times New Roman" w:hAnsi="Times New Roman" w:eastAsia="仿宋" w:cs="Times New Roman"/>
          <w:b/>
          <w:sz w:val="32"/>
          <w:szCs w:val="32"/>
        </w:rPr>
        <w:t>&lt;</w:t>
      </w:r>
      <w:r>
        <w:rPr>
          <w:rFonts w:hint="default" w:ascii="Times New Roman" w:hAnsi="Times New Roman" w:eastAsia="仿宋" w:cs="Times New Roman"/>
          <w:b/>
          <w:sz w:val="32"/>
          <w:szCs w:val="32"/>
        </w:rPr>
        <w:t>项级</w:t>
      </w:r>
      <w:r>
        <w:rPr>
          <w:rFonts w:hint="default" w:ascii="Times New Roman" w:hAnsi="Times New Roman" w:eastAsia="仿宋" w:cs="Times New Roman"/>
          <w:b/>
          <w:sz w:val="32"/>
          <w:szCs w:val="32"/>
        </w:rPr>
        <w:t>&gt;</w:t>
      </w:r>
      <w:r>
        <w:rPr>
          <w:rFonts w:hint="default" w:ascii="Times New Roman" w:hAnsi="Times New Roman" w:eastAsia="仿宋" w:cs="Times New Roman"/>
          <w:b/>
          <w:sz w:val="32"/>
          <w:szCs w:val="32"/>
        </w:rPr>
        <w:t>和调整预算数</w:t>
      </w:r>
      <w:r>
        <w:rPr>
          <w:rFonts w:hint="default" w:ascii="Times New Roman" w:hAnsi="Times New Roman" w:eastAsia="仿宋" w:cs="Times New Roman"/>
          <w:b/>
          <w:sz w:val="32"/>
          <w:szCs w:val="32"/>
        </w:rPr>
        <w:t>&lt;</w:t>
      </w:r>
      <w:r>
        <w:rPr>
          <w:rFonts w:hint="default" w:ascii="Times New Roman" w:hAnsi="Times New Roman" w:eastAsia="仿宋" w:cs="Times New Roman"/>
          <w:b/>
          <w:sz w:val="32"/>
          <w:szCs w:val="32"/>
        </w:rPr>
        <w:t>项级</w:t>
      </w:r>
      <w:r>
        <w:rPr>
          <w:rFonts w:hint="default" w:ascii="Times New Roman" w:hAnsi="Times New Roman" w:eastAsia="仿宋" w:cs="Times New Roman"/>
          <w:b/>
          <w:sz w:val="32"/>
          <w:szCs w:val="32"/>
        </w:rPr>
        <w:t>&gt;</w:t>
      </w:r>
      <w:r>
        <w:rPr>
          <w:rFonts w:hint="default" w:ascii="Times New Roman" w:hAnsi="Times New Roman" w:eastAsia="仿宋" w:cs="Times New Roman"/>
          <w:b/>
          <w:sz w:val="32"/>
          <w:szCs w:val="32"/>
        </w:rPr>
        <w:t>比较，与预算数持平可以不写原因。）</w:t>
      </w:r>
    </w:p>
    <w:p>
      <w:pPr>
        <w:pageBreakBefore w:val="0"/>
        <w:kinsoku/>
        <w:wordWrap/>
        <w:overflowPunct/>
        <w:topLinePunct w:val="0"/>
        <w:bidi w:val="0"/>
        <w:spacing w:line="576" w:lineRule="exact"/>
        <w:ind w:firstLine="640"/>
        <w:rPr>
          <w:rFonts w:hint="default" w:ascii="Times New Roman" w:hAnsi="Times New Roman" w:eastAsia="仿宋" w:cs="Times New Roman"/>
          <w:b/>
          <w:sz w:val="32"/>
          <w:szCs w:val="32"/>
        </w:rPr>
      </w:pPr>
    </w:p>
    <w:p>
      <w:pPr>
        <w:pageBreakBefore w:val="0"/>
        <w:tabs>
          <w:tab w:val="right" w:pos="8306"/>
        </w:tabs>
        <w:kinsoku/>
        <w:wordWrap/>
        <w:overflowPunct/>
        <w:topLinePunct w:val="0"/>
        <w:bidi w:val="0"/>
        <w:spacing w:line="576" w:lineRule="exact"/>
        <w:ind w:firstLine="640"/>
        <w:outlineLvl w:val="1"/>
        <w:rPr>
          <w:rStyle w:val="25"/>
          <w:rFonts w:hint="default" w:ascii="Times New Roman" w:hAnsi="Times New Roman" w:cs="Times New Roman"/>
        </w:rPr>
      </w:pPr>
      <w:bookmarkStart w:id="38" w:name="_Toc15396608"/>
      <w:bookmarkStart w:id="39" w:name="_Toc15377214"/>
      <w:r>
        <w:rPr>
          <w:rFonts w:hint="default" w:ascii="Times New Roman" w:hAnsi="Times New Roman" w:eastAsia="黑体" w:cs="Times New Roman"/>
          <w:sz w:val="32"/>
          <w:szCs w:val="32"/>
        </w:rPr>
        <w:t>六</w:t>
      </w:r>
      <w:r>
        <w:rPr>
          <w:rFonts w:hint="default" w:ascii="Times New Roman" w:hAnsi="Times New Roman" w:eastAsia="黑体" w:cs="Times New Roman"/>
          <w:b/>
          <w:sz w:val="32"/>
          <w:szCs w:val="32"/>
        </w:rPr>
        <w:t>、</w:t>
      </w:r>
      <w:r>
        <w:rPr>
          <w:rFonts w:hint="default" w:ascii="Times New Roman" w:hAnsi="Times New Roman" w:eastAsia="黑体" w:cs="Times New Roman"/>
          <w:b/>
          <w:sz w:val="32"/>
          <w:szCs w:val="32"/>
        </w:rPr>
        <w:t>一</w:t>
      </w:r>
      <w:r>
        <w:rPr>
          <w:rStyle w:val="25"/>
          <w:rFonts w:hint="default" w:ascii="Times New Roman" w:hAnsi="Times New Roman" w:eastAsia="黑体" w:cs="Times New Roman"/>
          <w:b w:val="0"/>
        </w:rPr>
        <w:t>般公共预算财政拨款基本支出决算情况说明</w:t>
      </w:r>
      <w:bookmarkEnd w:id="38"/>
      <w:bookmarkEnd w:id="39"/>
      <w:r>
        <w:rPr>
          <w:rStyle w:val="25"/>
          <w:rFonts w:hint="default" w:ascii="Times New Roman" w:hAnsi="Times New Roman" w:eastAsia="黑体" w:cs="Times New Roman"/>
          <w:b w:val="0"/>
        </w:rPr>
        <w:tab/>
      </w:r>
    </w:p>
    <w:p>
      <w:pPr>
        <w:pageBreakBefore w:val="0"/>
        <w:kinsoku/>
        <w:wordWrap/>
        <w:overflowPunct/>
        <w:topLinePunct w:val="0"/>
        <w:bidi w:val="0"/>
        <w:spacing w:line="576" w:lineRule="exact"/>
        <w:ind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w:t>
      </w:r>
      <w:r>
        <w:rPr>
          <w:rFonts w:hint="default" w:ascii="Times New Roman" w:hAnsi="Times New Roman" w:eastAsia="仿宋" w:cs="Times New Roman"/>
          <w:sz w:val="32"/>
          <w:szCs w:val="32"/>
        </w:rPr>
        <w:t>21年一般公共预算财政拨款基本支出</w:t>
      </w:r>
      <w:r>
        <w:rPr>
          <w:rFonts w:hint="default" w:ascii="Times New Roman" w:hAnsi="Times New Roman" w:eastAsia="仿宋" w:cs="Times New Roman"/>
          <w:sz w:val="32"/>
          <w:szCs w:val="32"/>
        </w:rPr>
        <w:t>158.8</w:t>
      </w:r>
      <w:r>
        <w:rPr>
          <w:rFonts w:hint="default" w:ascii="Times New Roman" w:hAnsi="Times New Roman" w:eastAsia="仿宋" w:cs="Times New Roman"/>
          <w:sz w:val="32"/>
          <w:szCs w:val="32"/>
        </w:rPr>
        <w:t>万元，其中：</w:t>
      </w:r>
    </w:p>
    <w:p>
      <w:pPr>
        <w:pageBreakBefore w:val="0"/>
        <w:kinsoku/>
        <w:wordWrap/>
        <w:overflowPunct/>
        <w:topLinePunct w:val="0"/>
        <w:bidi w:val="0"/>
        <w:spacing w:line="576" w:lineRule="exact"/>
        <w:ind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人员经费</w:t>
      </w:r>
      <w:r>
        <w:rPr>
          <w:rFonts w:hint="default" w:ascii="Times New Roman" w:hAnsi="Times New Roman" w:eastAsia="仿宋" w:cs="Times New Roman"/>
          <w:sz w:val="32"/>
          <w:szCs w:val="32"/>
        </w:rPr>
        <w:t>131.76</w:t>
      </w:r>
      <w:r>
        <w:rPr>
          <w:rFonts w:hint="default" w:ascii="Times New Roman" w:hAnsi="Times New Roman" w:eastAsia="仿宋" w:cs="Times New Roman"/>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hint="default" w:ascii="Times New Roman" w:hAnsi="Times New Roman" w:eastAsia="仿宋" w:cs="Times New Roman"/>
          <w:sz w:val="32"/>
          <w:szCs w:val="32"/>
        </w:rPr>
        <w:br w:type="textWrapping"/>
      </w:r>
      <w:r>
        <w:rPr>
          <w:rFonts w:hint="default" w:ascii="Times New Roman" w:hAnsi="Times New Roman" w:eastAsia="仿宋" w:cs="Times New Roman"/>
          <w:sz w:val="32"/>
          <w:szCs w:val="32"/>
        </w:rPr>
        <w:t>　　公用经费</w:t>
      </w:r>
      <w:r>
        <w:rPr>
          <w:rFonts w:hint="default" w:ascii="Times New Roman" w:hAnsi="Times New Roman" w:eastAsia="仿宋" w:cs="Times New Roman"/>
          <w:sz w:val="32"/>
          <w:szCs w:val="32"/>
        </w:rPr>
        <w:t>23.3</w:t>
      </w:r>
      <w:r>
        <w:rPr>
          <w:rFonts w:hint="default" w:ascii="Times New Roman" w:hAnsi="Times New Roman" w:eastAsia="仿宋" w:cs="Times New Roman"/>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pageBreakBefore w:val="0"/>
        <w:kinsoku/>
        <w:wordWrap/>
        <w:overflowPunct/>
        <w:topLinePunct w:val="0"/>
        <w:bidi w:val="0"/>
        <w:spacing w:line="576" w:lineRule="exact"/>
        <w:ind w:firstLine="645"/>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（注：数据来源于财决</w:t>
      </w:r>
      <w:r>
        <w:rPr>
          <w:rFonts w:hint="default" w:ascii="Times New Roman" w:hAnsi="Times New Roman" w:eastAsia="仿宋" w:cs="Times New Roman"/>
          <w:b/>
          <w:sz w:val="32"/>
          <w:szCs w:val="32"/>
        </w:rPr>
        <w:t>0</w:t>
      </w:r>
      <w:r>
        <w:rPr>
          <w:rFonts w:hint="default" w:ascii="Times New Roman" w:hAnsi="Times New Roman" w:eastAsia="仿宋" w:cs="Times New Roman"/>
          <w:b/>
          <w:sz w:val="32"/>
          <w:szCs w:val="32"/>
        </w:rPr>
        <w:t>7表和财决08-1表，仅罗列本部门实际支出涉及的经济分类科目。）</w:t>
      </w:r>
    </w:p>
    <w:p>
      <w:pPr>
        <w:pageBreakBefore w:val="0"/>
        <w:kinsoku/>
        <w:wordWrap/>
        <w:overflowPunct/>
        <w:topLinePunct w:val="0"/>
        <w:bidi w:val="0"/>
        <w:spacing w:line="576" w:lineRule="exact"/>
        <w:ind w:firstLine="640"/>
        <w:rPr>
          <w:rFonts w:hint="default" w:ascii="Times New Roman" w:hAnsi="Times New Roman" w:eastAsia="仿宋" w:cs="Times New Roman"/>
          <w:b/>
          <w:sz w:val="32"/>
          <w:szCs w:val="32"/>
        </w:rPr>
      </w:pPr>
    </w:p>
    <w:p>
      <w:pPr>
        <w:pageBreakBefore w:val="0"/>
        <w:kinsoku/>
        <w:wordWrap/>
        <w:overflowPunct/>
        <w:topLinePunct w:val="0"/>
        <w:bidi w:val="0"/>
        <w:spacing w:line="576" w:lineRule="exact"/>
        <w:ind w:firstLine="640"/>
        <w:outlineLvl w:val="1"/>
        <w:rPr>
          <w:rStyle w:val="25"/>
          <w:rFonts w:hint="default" w:ascii="Times New Roman" w:hAnsi="Times New Roman" w:eastAsia="黑体" w:cs="Times New Roman"/>
          <w:b w:val="0"/>
        </w:rPr>
      </w:pPr>
      <w:bookmarkStart w:id="40" w:name="_Toc15377215"/>
      <w:bookmarkStart w:id="41" w:name="_Toc15396609"/>
      <w:r>
        <w:rPr>
          <w:rFonts w:hint="default" w:ascii="Times New Roman" w:hAnsi="Times New Roman" w:eastAsia="黑体" w:cs="Times New Roman"/>
          <w:sz w:val="32"/>
          <w:szCs w:val="32"/>
        </w:rPr>
        <w:t>七、</w:t>
      </w:r>
      <w:r>
        <w:rPr>
          <w:rStyle w:val="25"/>
          <w:rFonts w:hint="default" w:ascii="Times New Roman" w:hAnsi="Times New Roman" w:eastAsia="黑体" w:cs="Times New Roman"/>
        </w:rPr>
        <w:t>“</w:t>
      </w:r>
      <w:r>
        <w:rPr>
          <w:rStyle w:val="25"/>
          <w:rFonts w:hint="default" w:ascii="Times New Roman" w:hAnsi="Times New Roman" w:eastAsia="黑体" w:cs="Times New Roman"/>
          <w:b w:val="0"/>
        </w:rPr>
        <w:t>三公”经费财政拨款支出决算情况说明</w:t>
      </w:r>
      <w:bookmarkEnd w:id="40"/>
      <w:bookmarkEnd w:id="41"/>
    </w:p>
    <w:p>
      <w:pPr>
        <w:pageBreakBefore w:val="0"/>
        <w:kinsoku/>
        <w:wordWrap/>
        <w:overflowPunct/>
        <w:topLinePunct w:val="0"/>
        <w:bidi w:val="0"/>
        <w:spacing w:line="576" w:lineRule="exact"/>
        <w:ind w:firstLine="640"/>
        <w:outlineLvl w:val="2"/>
        <w:rPr>
          <w:rFonts w:hint="default" w:ascii="Times New Roman" w:hAnsi="Times New Roman" w:eastAsia="仿宋" w:cs="Times New Roman"/>
          <w:b/>
          <w:sz w:val="32"/>
          <w:szCs w:val="32"/>
        </w:rPr>
      </w:pPr>
      <w:bookmarkStart w:id="42" w:name="_Toc15377216"/>
      <w:r>
        <w:rPr>
          <w:rFonts w:hint="default" w:ascii="Times New Roman" w:hAnsi="Times New Roman" w:eastAsia="仿宋" w:cs="Times New Roman"/>
          <w:b/>
          <w:sz w:val="32"/>
          <w:szCs w:val="32"/>
        </w:rPr>
        <w:t>（一）“三公”经费财政拨款支出决算总体情况说明</w:t>
      </w:r>
      <w:bookmarkEnd w:id="42"/>
    </w:p>
    <w:p>
      <w:pPr>
        <w:pageBreakBefore w:val="0"/>
        <w:kinsoku/>
        <w:wordWrap/>
        <w:overflowPunct/>
        <w:topLinePunct w:val="0"/>
        <w:bidi w:val="0"/>
        <w:spacing w:line="576"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w:t>
      </w:r>
      <w:r>
        <w:rPr>
          <w:rFonts w:hint="default" w:ascii="Times New Roman" w:hAnsi="Times New Roman" w:eastAsia="仿宋" w:cs="Times New Roman"/>
          <w:sz w:val="32"/>
          <w:szCs w:val="32"/>
        </w:rPr>
        <w:t>21年“三公”经费财政拨款支出决算为</w:t>
      </w:r>
      <w:r>
        <w:rPr>
          <w:rFonts w:hint="default" w:ascii="Times New Roman" w:hAnsi="Times New Roman" w:eastAsia="仿宋" w:cs="Times New Roman"/>
          <w:sz w:val="32"/>
          <w:szCs w:val="32"/>
        </w:rPr>
        <w:t>5</w:t>
      </w:r>
      <w:r>
        <w:rPr>
          <w:rFonts w:hint="default" w:ascii="Times New Roman" w:hAnsi="Times New Roman" w:eastAsia="仿宋" w:cs="Times New Roman"/>
          <w:sz w:val="32"/>
          <w:szCs w:val="32"/>
        </w:rPr>
        <w:t>万元，完成预算100</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，决算数与预算数持平。</w:t>
      </w:r>
    </w:p>
    <w:p>
      <w:pPr>
        <w:pageBreakBefore w:val="0"/>
        <w:kinsoku/>
        <w:wordWrap/>
        <w:overflowPunct/>
        <w:topLinePunct w:val="0"/>
        <w:bidi w:val="0"/>
        <w:spacing w:line="576" w:lineRule="exact"/>
        <w:ind w:firstLine="640"/>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（注：上述“预算”口径为调整预算数。）</w:t>
      </w:r>
    </w:p>
    <w:p>
      <w:pPr>
        <w:pageBreakBefore w:val="0"/>
        <w:kinsoku/>
        <w:wordWrap/>
        <w:overflowPunct/>
        <w:topLinePunct w:val="0"/>
        <w:bidi w:val="0"/>
        <w:spacing w:line="576" w:lineRule="exact"/>
        <w:ind w:firstLine="640"/>
        <w:outlineLvl w:val="2"/>
        <w:rPr>
          <w:rFonts w:hint="default" w:ascii="Times New Roman" w:hAnsi="Times New Roman" w:eastAsia="仿宋" w:cs="Times New Roman"/>
          <w:b/>
          <w:sz w:val="32"/>
          <w:szCs w:val="32"/>
        </w:rPr>
      </w:pPr>
      <w:bookmarkStart w:id="43" w:name="_Toc15377217"/>
      <w:r>
        <w:rPr>
          <w:rFonts w:hint="default" w:ascii="Times New Roman" w:hAnsi="Times New Roman" w:eastAsia="仿宋" w:cs="Times New Roman"/>
          <w:b/>
          <w:sz w:val="32"/>
          <w:szCs w:val="32"/>
        </w:rPr>
        <w:t>（二）“三公”经费财政拨款支出决算具体情况说明</w:t>
      </w:r>
      <w:bookmarkEnd w:id="43"/>
    </w:p>
    <w:p>
      <w:pPr>
        <w:pageBreakBefore w:val="0"/>
        <w:kinsoku/>
        <w:wordWrap/>
        <w:overflowPunct/>
        <w:topLinePunct w:val="0"/>
        <w:bidi w:val="0"/>
        <w:spacing w:line="576"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w:t>
      </w:r>
      <w:r>
        <w:rPr>
          <w:rFonts w:hint="default" w:ascii="Times New Roman" w:hAnsi="Times New Roman" w:eastAsia="仿宋" w:cs="Times New Roman"/>
          <w:sz w:val="32"/>
          <w:szCs w:val="32"/>
        </w:rPr>
        <w:t>21年“三公”经费财政拨款支出决算中，因公出国（境）费支出决算0万元，占0</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；公务用车购置及运行维护费支出决算0万元，占0</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；公务接待费支出决算0万元，占0</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。具体情况如下：</w:t>
      </w:r>
    </w:p>
    <w:p>
      <w:pPr>
        <w:pageBreakBefore w:val="0"/>
        <w:kinsoku/>
        <w:wordWrap/>
        <w:overflowPunct/>
        <w:topLinePunct w:val="0"/>
        <w:bidi w:val="0"/>
        <w:spacing w:line="576"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（图7：“三公”经费财政拨款支出结构）（饼状图）</w:t>
      </w:r>
    </w:p>
    <w:p>
      <w:pPr>
        <w:pageBreakBefore w:val="0"/>
        <w:kinsoku/>
        <w:wordWrap/>
        <w:overflowPunct/>
        <w:topLinePunct w:val="0"/>
        <w:bidi w:val="0"/>
        <w:spacing w:line="576" w:lineRule="exact"/>
        <w:ind w:firstLine="64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w:t>
      </w:r>
      <w:r>
        <w:rPr>
          <w:rFonts w:hint="default" w:ascii="Times New Roman" w:hAnsi="Times New Roman" w:eastAsia="仿宋_GB2312" w:cs="Times New Roman"/>
          <w:b/>
          <w:sz w:val="32"/>
          <w:szCs w:val="32"/>
        </w:rPr>
        <w:t>因公出国（境）经费支出</w:t>
      </w:r>
      <w:r>
        <w:rPr>
          <w:rFonts w:hint="default" w:ascii="Times New Roman" w:hAnsi="Times New Roman" w:eastAsia="仿宋_GB2312" w:cs="Times New Roman"/>
          <w:sz w:val="32"/>
          <w:szCs w:val="32"/>
        </w:rPr>
        <w:t>0万元，</w:t>
      </w:r>
      <w:r>
        <w:rPr>
          <w:rStyle w:val="14"/>
          <w:rFonts w:hint="default" w:ascii="Times New Roman" w:hAnsi="Times New Roman" w:eastAsia="仿宋" w:cs="Times New Roman"/>
          <w:b w:val="0"/>
          <w:bCs/>
          <w:sz w:val="32"/>
          <w:szCs w:val="32"/>
        </w:rPr>
        <w:t>完成预算0</w:t>
      </w:r>
      <w:r>
        <w:rPr>
          <w:rStyle w:val="14"/>
          <w:rFonts w:hint="default" w:ascii="Times New Roman" w:hAnsi="Times New Roman" w:eastAsia="仿宋" w:cs="Times New Roman"/>
          <w:b w:val="0"/>
          <w:bCs/>
          <w:sz w:val="32"/>
          <w:szCs w:val="32"/>
        </w:rPr>
        <w:t>%</w:t>
      </w:r>
      <w:r>
        <w:rPr>
          <w:rStyle w:val="14"/>
          <w:rFonts w:hint="default" w:ascii="Times New Roman" w:hAnsi="Times New Roman" w:eastAsia="仿宋" w:cs="Times New Roman"/>
          <w:b w:val="0"/>
          <w:bCs/>
          <w:sz w:val="32"/>
          <w:szCs w:val="32"/>
        </w:rPr>
        <w:t>。</w:t>
      </w:r>
      <w:r>
        <w:rPr>
          <w:rFonts w:hint="default" w:ascii="Times New Roman" w:hAnsi="Times New Roman" w:eastAsia="仿宋_GB2312" w:cs="Times New Roman"/>
          <w:sz w:val="32"/>
          <w:szCs w:val="32"/>
        </w:rPr>
        <w:t>全年安排因公出国（境）团组0次，出国（境）0人。因公出国（境）支出决算比</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rPr>
        <w:t>20年增加</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减少0万元，增长</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下降0</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w:t>
      </w:r>
    </w:p>
    <w:p>
      <w:pPr>
        <w:pageBreakBefore w:val="0"/>
        <w:kinsoku/>
        <w:wordWrap/>
        <w:overflowPunct/>
        <w:topLinePunct w:val="0"/>
        <w:bidi w:val="0"/>
        <w:spacing w:line="576" w:lineRule="exact"/>
        <w:ind w:firstLine="64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2.</w:t>
      </w:r>
      <w:r>
        <w:rPr>
          <w:rFonts w:hint="default" w:ascii="Times New Roman" w:hAnsi="Times New Roman" w:eastAsia="仿宋_GB2312" w:cs="Times New Roman"/>
          <w:b/>
          <w:sz w:val="32"/>
          <w:szCs w:val="32"/>
        </w:rPr>
        <w:t>公务用车购置及运行维护费支出</w:t>
      </w:r>
      <w:r>
        <w:rPr>
          <w:rFonts w:hint="default" w:ascii="Times New Roman" w:hAnsi="Times New Roman" w:eastAsia="仿宋_GB2312" w:cs="Times New Roman"/>
          <w:sz w:val="32"/>
          <w:szCs w:val="32"/>
        </w:rPr>
        <w:t>0万元,</w:t>
      </w:r>
      <w:r>
        <w:rPr>
          <w:rStyle w:val="14"/>
          <w:rFonts w:hint="default" w:ascii="Times New Roman" w:hAnsi="Times New Roman" w:eastAsia="仿宋" w:cs="Times New Roman"/>
          <w:b w:val="0"/>
          <w:bCs/>
          <w:sz w:val="32"/>
          <w:szCs w:val="32"/>
        </w:rPr>
        <w:t>完成预算0</w:t>
      </w:r>
      <w:r>
        <w:rPr>
          <w:rStyle w:val="14"/>
          <w:rFonts w:hint="default" w:ascii="Times New Roman" w:hAnsi="Times New Roman" w:eastAsia="仿宋" w:cs="Times New Roman"/>
          <w:b w:val="0"/>
          <w:bCs/>
          <w:sz w:val="32"/>
          <w:szCs w:val="32"/>
        </w:rPr>
        <w:t>%</w:t>
      </w:r>
      <w:r>
        <w:rPr>
          <w:rStyle w:val="14"/>
          <w:rFonts w:hint="default" w:ascii="Times New Roman" w:hAnsi="Times New Roman" w:eastAsia="仿宋" w:cs="Times New Roman"/>
          <w:b w:val="0"/>
          <w:bCs/>
          <w:sz w:val="32"/>
          <w:szCs w:val="32"/>
        </w:rPr>
        <w:t>。</w:t>
      </w:r>
      <w:r>
        <w:rPr>
          <w:rFonts w:hint="default" w:ascii="Times New Roman" w:hAnsi="Times New Roman" w:eastAsia="仿宋_GB2312" w:cs="Times New Roman"/>
          <w:sz w:val="32"/>
          <w:szCs w:val="32"/>
        </w:rPr>
        <w:t>公务用车购置及运行维护费支出决算比</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rPr>
        <w:t>20年增加</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减少0万元，增长</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下降0</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w:t>
      </w:r>
    </w:p>
    <w:p>
      <w:pPr>
        <w:pageBreakBefore w:val="0"/>
        <w:kinsoku/>
        <w:wordWrap/>
        <w:overflowPunct/>
        <w:topLinePunct w:val="0"/>
        <w:bidi w:val="0"/>
        <w:spacing w:line="576" w:lineRule="exact"/>
        <w:ind w:firstLine="640"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其中：</w:t>
      </w:r>
      <w:r>
        <w:rPr>
          <w:rFonts w:hint="default" w:ascii="Times New Roman" w:hAnsi="Times New Roman" w:eastAsia="仿宋_GB2312" w:cs="Times New Roman"/>
          <w:b/>
          <w:sz w:val="32"/>
          <w:szCs w:val="32"/>
        </w:rPr>
        <w:t>公务用车购置支出</w:t>
      </w:r>
      <w:r>
        <w:rPr>
          <w:rFonts w:hint="default" w:ascii="Times New Roman" w:hAnsi="Times New Roman" w:eastAsia="仿宋_GB2312" w:cs="Times New Roman"/>
          <w:sz w:val="32"/>
          <w:szCs w:val="32"/>
        </w:rPr>
        <w:t>0万元。全年按规定更新购置公务用车0辆，其中：轿车0辆、金额0万元，越野车0辆、金额0万元，载客汽车0辆、金额0万元，主要用于…。截至</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rPr>
        <w:t>21年</w:t>
      </w:r>
      <w:r>
        <w:rPr>
          <w:rFonts w:hint="default" w:ascii="Times New Roman" w:hAnsi="Times New Roman" w:eastAsia="仿宋_GB2312" w:cs="Times New Roman"/>
          <w:sz w:val="32"/>
          <w:szCs w:val="32"/>
        </w:rPr>
        <w:t>12</w:t>
      </w:r>
      <w:r>
        <w:rPr>
          <w:rFonts w:hint="default" w:ascii="Times New Roman" w:hAnsi="Times New Roman" w:eastAsia="仿宋_GB2312" w:cs="Times New Roman"/>
          <w:sz w:val="32"/>
          <w:szCs w:val="32"/>
        </w:rPr>
        <w:t>月底，单位共有公务用车0辆，其中：轿车0辆、越野车0辆、载客汽车0辆。</w:t>
      </w:r>
    </w:p>
    <w:p>
      <w:pPr>
        <w:pageBreakBefore w:val="0"/>
        <w:kinsoku/>
        <w:wordWrap/>
        <w:overflowPunct/>
        <w:topLinePunct w:val="0"/>
        <w:bidi w:val="0"/>
        <w:spacing w:line="576"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公务用车运行维护费支出</w:t>
      </w:r>
      <w:r>
        <w:rPr>
          <w:rFonts w:hint="default" w:ascii="Times New Roman" w:hAnsi="Times New Roman" w:eastAsia="仿宋_GB2312" w:cs="Times New Roman"/>
          <w:sz w:val="32"/>
          <w:szCs w:val="32"/>
        </w:rPr>
        <w:t>0万元。主要用于具体工作等所需的公务用车燃料费、维修费、过路过桥费、保险费等支出。</w:t>
      </w:r>
    </w:p>
    <w:p>
      <w:pPr>
        <w:pageBreakBefore w:val="0"/>
        <w:kinsoku/>
        <w:wordWrap/>
        <w:overflowPunct/>
        <w:topLinePunct w:val="0"/>
        <w:bidi w:val="0"/>
        <w:spacing w:line="576"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3.</w:t>
      </w:r>
      <w:r>
        <w:rPr>
          <w:rFonts w:hint="default" w:ascii="Times New Roman" w:hAnsi="Times New Roman" w:eastAsia="仿宋_GB2312" w:cs="Times New Roman"/>
          <w:b/>
          <w:sz w:val="32"/>
          <w:szCs w:val="32"/>
        </w:rPr>
        <w:t>公务接待费支出</w:t>
      </w:r>
      <w:r>
        <w:rPr>
          <w:rFonts w:hint="default" w:ascii="Times New Roman" w:hAnsi="Times New Roman" w:eastAsia="仿宋_GB2312" w:cs="Times New Roman"/>
          <w:sz w:val="32"/>
          <w:szCs w:val="32"/>
        </w:rPr>
        <w:t>1万元，</w:t>
      </w:r>
      <w:r>
        <w:rPr>
          <w:rFonts w:hint="default" w:ascii="Times New Roman" w:hAnsi="Times New Roman" w:eastAsia="仿宋_GB2312" w:cs="Times New Roman"/>
          <w:color w:val="000000"/>
          <w:sz w:val="32"/>
          <w:szCs w:val="32"/>
        </w:rPr>
        <w:t>商务接待支出4万元，</w:t>
      </w:r>
      <w:r>
        <w:rPr>
          <w:rStyle w:val="14"/>
          <w:rFonts w:hint="default" w:ascii="Times New Roman" w:hAnsi="Times New Roman" w:eastAsia="仿宋" w:cs="Times New Roman"/>
          <w:b w:val="0"/>
          <w:bCs/>
          <w:sz w:val="32"/>
          <w:szCs w:val="32"/>
        </w:rPr>
        <w:t>完成预算100</w:t>
      </w:r>
      <w:r>
        <w:rPr>
          <w:rStyle w:val="14"/>
          <w:rFonts w:hint="default" w:ascii="Times New Roman" w:hAnsi="Times New Roman" w:eastAsia="仿宋" w:cs="Times New Roman"/>
          <w:b w:val="0"/>
          <w:bCs/>
          <w:sz w:val="32"/>
          <w:szCs w:val="32"/>
        </w:rPr>
        <w:t>%</w:t>
      </w:r>
      <w:r>
        <w:rPr>
          <w:rStyle w:val="14"/>
          <w:rFonts w:hint="default" w:ascii="Times New Roman" w:hAnsi="Times New Roman" w:eastAsia="仿宋" w:cs="Times New Roman"/>
          <w:b w:val="0"/>
          <w:bCs/>
          <w:sz w:val="32"/>
          <w:szCs w:val="32"/>
        </w:rPr>
        <w:t>。</w:t>
      </w:r>
      <w:r>
        <w:rPr>
          <w:rFonts w:hint="default" w:ascii="Times New Roman" w:hAnsi="Times New Roman" w:eastAsia="仿宋_GB2312" w:cs="Times New Roman"/>
          <w:sz w:val="32"/>
          <w:szCs w:val="32"/>
        </w:rPr>
        <w:t>公务接待费支出决算比</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rPr>
        <w:t>20年减少0.25万元，下降4.76</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。主要原因是开源节流、厉行节约。其中：</w:t>
      </w:r>
    </w:p>
    <w:p>
      <w:pPr>
        <w:pageBreakBefore w:val="0"/>
        <w:kinsoku/>
        <w:wordWrap/>
        <w:overflowPunct/>
        <w:topLinePunct w:val="0"/>
        <w:bidi w:val="0"/>
        <w:spacing w:line="576" w:lineRule="exact"/>
        <w:ind w:firstLine="640"/>
        <w:rPr>
          <w:rFonts w:hint="default" w:ascii="Times New Roman" w:hAnsi="Times New Roman" w:eastAsia="仿宋_GB2312" w:cs="Times New Roman"/>
          <w:color w:val="000000"/>
          <w:sz w:val="32"/>
          <w:szCs w:val="32"/>
        </w:rPr>
      </w:pPr>
      <w:r>
        <w:rPr>
          <w:rFonts w:hint="default" w:ascii="Times New Roman" w:hAnsi="Times New Roman" w:eastAsia="仿宋" w:cs="Times New Roman"/>
          <w:b/>
          <w:sz w:val="32"/>
          <w:szCs w:val="32"/>
        </w:rPr>
        <w:t>国内公务接待支出</w:t>
      </w:r>
      <w:r>
        <w:rPr>
          <w:rFonts w:hint="default" w:ascii="Times New Roman" w:hAnsi="Times New Roman" w:eastAsia="仿宋" w:cs="Times New Roman"/>
          <w:sz w:val="32"/>
          <w:szCs w:val="32"/>
        </w:rPr>
        <w:t>5</w:t>
      </w:r>
      <w:r>
        <w:rPr>
          <w:rFonts w:hint="default" w:ascii="Times New Roman" w:hAnsi="Times New Roman" w:eastAsia="仿宋_GB2312" w:cs="Times New Roman"/>
          <w:sz w:val="32"/>
          <w:szCs w:val="32"/>
        </w:rPr>
        <w:t>万元，主要用于执行公务、开展业务活动开支的交通费、住宿费、用餐费等。国内公务接待6批次，38人次（不包括陪同人员），</w:t>
      </w:r>
      <w:r>
        <w:rPr>
          <w:rFonts w:hint="default" w:ascii="Times New Roman" w:hAnsi="Times New Roman" w:eastAsia="仿宋_GB2312" w:cs="Times New Roman"/>
          <w:color w:val="000000"/>
          <w:sz w:val="32"/>
          <w:szCs w:val="32"/>
        </w:rPr>
        <w:t>商务接待14批次,82人次，</w:t>
      </w:r>
      <w:r>
        <w:rPr>
          <w:rFonts w:hint="default" w:ascii="Times New Roman" w:hAnsi="Times New Roman" w:eastAsia="仿宋_GB2312" w:cs="Times New Roman"/>
          <w:sz w:val="32"/>
          <w:szCs w:val="32"/>
        </w:rPr>
        <w:t>共计支出5万元，具体内容包括：</w:t>
      </w:r>
      <w:r>
        <w:rPr>
          <w:rFonts w:hint="default" w:ascii="Times New Roman" w:hAnsi="Times New Roman" w:eastAsia="方正仿宋_GBK" w:cs="Times New Roman"/>
          <w:sz w:val="32"/>
          <w:szCs w:val="32"/>
        </w:rPr>
        <w:t>交通费、住宿费、用餐费等</w:t>
      </w:r>
      <w:r>
        <w:rPr>
          <w:rFonts w:hint="default" w:ascii="Times New Roman" w:hAnsi="Times New Roman" w:eastAsia="方正仿宋_GBK" w:cs="Times New Roman"/>
          <w:color w:val="000000"/>
          <w:sz w:val="32"/>
          <w:szCs w:val="32"/>
        </w:rPr>
        <w:t>开支</w:t>
      </w:r>
      <w:r>
        <w:rPr>
          <w:rFonts w:hint="default" w:ascii="Times New Roman" w:hAnsi="Times New Roman" w:eastAsia="仿宋_GB2312" w:cs="Times New Roman"/>
          <w:color w:val="000000"/>
          <w:sz w:val="32"/>
          <w:szCs w:val="32"/>
        </w:rPr>
        <w:t>。</w:t>
      </w:r>
    </w:p>
    <w:p>
      <w:pPr>
        <w:pageBreakBefore w:val="0"/>
        <w:kinsoku/>
        <w:wordWrap/>
        <w:overflowPunct/>
        <w:topLinePunct w:val="0"/>
        <w:bidi w:val="0"/>
        <w:spacing w:line="576" w:lineRule="exact"/>
        <w:ind w:firstLine="642" w:firstLineChars="200"/>
        <w:rPr>
          <w:rFonts w:hint="default" w:ascii="Times New Roman" w:hAnsi="Times New Roman" w:eastAsia="仿宋_GB2312" w:cs="Times New Roman"/>
          <w:sz w:val="32"/>
          <w:szCs w:val="32"/>
        </w:rPr>
      </w:pPr>
      <w:r>
        <w:rPr>
          <w:rFonts w:hint="default" w:ascii="Times New Roman" w:hAnsi="Times New Roman" w:eastAsia="仿宋" w:cs="Times New Roman"/>
          <w:b/>
          <w:sz w:val="32"/>
          <w:szCs w:val="32"/>
        </w:rPr>
        <w:t>外事接待支出</w:t>
      </w:r>
      <w:r>
        <w:rPr>
          <w:rFonts w:hint="default" w:ascii="Times New Roman" w:hAnsi="Times New Roman" w:eastAsia="仿宋" w:cs="Times New Roman"/>
          <w:sz w:val="32"/>
          <w:szCs w:val="32"/>
        </w:rPr>
        <w:t>0</w:t>
      </w:r>
      <w:r>
        <w:rPr>
          <w:rFonts w:hint="default" w:ascii="Times New Roman" w:hAnsi="Times New Roman" w:eastAsia="仿宋_GB2312" w:cs="Times New Roman"/>
          <w:sz w:val="32"/>
          <w:szCs w:val="32"/>
        </w:rPr>
        <w:t>万元，外事接待0批次，0人，共计支出0万元。</w:t>
      </w:r>
    </w:p>
    <w:p>
      <w:pPr>
        <w:pageBreakBefore w:val="0"/>
        <w:kinsoku/>
        <w:wordWrap/>
        <w:overflowPunct/>
        <w:topLinePunct w:val="0"/>
        <w:bidi w:val="0"/>
        <w:spacing w:line="576" w:lineRule="exact"/>
        <w:ind w:firstLine="640"/>
        <w:outlineLvl w:val="1"/>
        <w:rPr>
          <w:rFonts w:hint="default" w:ascii="Times New Roman" w:hAnsi="Times New Roman" w:eastAsia="黑体" w:cs="Times New Roman"/>
          <w:sz w:val="32"/>
          <w:szCs w:val="32"/>
        </w:rPr>
      </w:pPr>
      <w:bookmarkStart w:id="44" w:name="_Toc15377218"/>
      <w:bookmarkStart w:id="45" w:name="_Toc15396610"/>
    </w:p>
    <w:p>
      <w:pPr>
        <w:pageBreakBefore w:val="0"/>
        <w:kinsoku/>
        <w:wordWrap/>
        <w:overflowPunct/>
        <w:topLinePunct w:val="0"/>
        <w:bidi w:val="0"/>
        <w:spacing w:line="576" w:lineRule="exact"/>
        <w:ind w:firstLine="640"/>
        <w:outlineLvl w:val="1"/>
        <w:rPr>
          <w:rStyle w:val="25"/>
          <w:rFonts w:hint="default" w:ascii="Times New Roman" w:hAnsi="Times New Roman" w:eastAsia="黑体" w:cs="Times New Roman"/>
        </w:rPr>
      </w:pPr>
      <w:r>
        <w:rPr>
          <w:rFonts w:hint="default" w:ascii="Times New Roman" w:hAnsi="Times New Roman" w:eastAsia="黑体" w:cs="Times New Roman"/>
          <w:sz w:val="32"/>
          <w:szCs w:val="32"/>
        </w:rPr>
        <w:t>八、</w:t>
      </w:r>
      <w:r>
        <w:rPr>
          <w:rStyle w:val="25"/>
          <w:rFonts w:hint="default" w:ascii="Times New Roman" w:hAnsi="Times New Roman" w:eastAsia="黑体" w:cs="Times New Roman"/>
          <w:b w:val="0"/>
        </w:rPr>
        <w:t>政府性基金预算支出决算情况说明</w:t>
      </w:r>
      <w:bookmarkEnd w:id="44"/>
      <w:bookmarkEnd w:id="45"/>
    </w:p>
    <w:p>
      <w:pPr>
        <w:pageBreakBefore w:val="0"/>
        <w:kinsoku/>
        <w:wordWrap/>
        <w:overflowPunct/>
        <w:topLinePunct w:val="0"/>
        <w:bidi w:val="0"/>
        <w:spacing w:line="576"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rPr>
        <w:t>21年政府性基金预算财政拨款支出0万元。</w:t>
      </w:r>
    </w:p>
    <w:p>
      <w:pPr>
        <w:pageBreakBefore w:val="0"/>
        <w:kinsoku/>
        <w:wordWrap/>
        <w:overflowPunct/>
        <w:topLinePunct w:val="0"/>
        <w:bidi w:val="0"/>
        <w:spacing w:line="576" w:lineRule="exact"/>
        <w:ind w:firstLine="640"/>
        <w:rPr>
          <w:rFonts w:hint="default" w:ascii="Times New Roman" w:hAnsi="Times New Roman" w:eastAsia="仿宋_GB2312" w:cs="Times New Roman"/>
          <w:sz w:val="32"/>
          <w:szCs w:val="32"/>
        </w:rPr>
      </w:pPr>
    </w:p>
    <w:p>
      <w:pPr>
        <w:pageBreakBefore w:val="0"/>
        <w:numPr>
          <w:ilvl w:val="0"/>
          <w:numId w:val="2"/>
        </w:numPr>
        <w:kinsoku/>
        <w:wordWrap/>
        <w:overflowPunct/>
        <w:topLinePunct w:val="0"/>
        <w:bidi w:val="0"/>
        <w:spacing w:line="576" w:lineRule="exact"/>
        <w:ind w:firstLine="640"/>
        <w:outlineLvl w:val="1"/>
        <w:rPr>
          <w:rStyle w:val="25"/>
          <w:rFonts w:hint="default" w:ascii="Times New Roman" w:hAnsi="Times New Roman" w:eastAsia="黑体" w:cs="Times New Roman"/>
          <w:b w:val="0"/>
        </w:rPr>
      </w:pPr>
      <w:bookmarkStart w:id="46" w:name="_Toc15377219"/>
      <w:bookmarkStart w:id="47" w:name="_Toc15396611"/>
      <w:r>
        <w:rPr>
          <w:rStyle w:val="25"/>
          <w:rFonts w:hint="default" w:ascii="Times New Roman" w:hAnsi="Times New Roman" w:eastAsia="黑体" w:cs="Times New Roman"/>
          <w:b w:val="0"/>
        </w:rPr>
        <w:t>国有资本经营预算支出决算情况说明</w:t>
      </w:r>
      <w:bookmarkEnd w:id="46"/>
      <w:bookmarkEnd w:id="47"/>
    </w:p>
    <w:p>
      <w:pPr>
        <w:pageBreakBefore w:val="0"/>
        <w:kinsoku/>
        <w:wordWrap/>
        <w:overflowPunct/>
        <w:topLinePunct w:val="0"/>
        <w:bidi w:val="0"/>
        <w:spacing w:line="576"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rPr>
        <w:t>21年国有资本经营预算财政拨款支出0万元。</w:t>
      </w:r>
    </w:p>
    <w:p>
      <w:pPr>
        <w:pageBreakBefore w:val="0"/>
        <w:kinsoku/>
        <w:wordWrap/>
        <w:overflowPunct/>
        <w:topLinePunct w:val="0"/>
        <w:bidi w:val="0"/>
        <w:spacing w:line="576" w:lineRule="exact"/>
        <w:jc w:val="center"/>
        <w:rPr>
          <w:rFonts w:hint="default" w:ascii="Times New Roman" w:hAnsi="Times New Roman" w:eastAsia="方正小标宋简体" w:cs="Times New Roman"/>
          <w:sz w:val="44"/>
          <w:szCs w:val="44"/>
        </w:rPr>
      </w:pPr>
    </w:p>
    <w:p>
      <w:pPr>
        <w:pageBreakBefore w:val="0"/>
        <w:numPr>
          <w:ilvl w:val="0"/>
          <w:numId w:val="2"/>
        </w:numPr>
        <w:kinsoku/>
        <w:wordWrap/>
        <w:overflowPunct/>
        <w:topLinePunct w:val="0"/>
        <w:bidi w:val="0"/>
        <w:spacing w:line="576" w:lineRule="exact"/>
        <w:ind w:firstLine="640"/>
        <w:outlineLvl w:val="1"/>
        <w:rPr>
          <w:rStyle w:val="25"/>
          <w:rFonts w:hint="default" w:ascii="Times New Roman" w:hAnsi="Times New Roman" w:eastAsia="黑体" w:cs="Times New Roman"/>
          <w:b w:val="0"/>
        </w:rPr>
      </w:pPr>
      <w:bookmarkStart w:id="48" w:name="_Toc15377221"/>
      <w:bookmarkStart w:id="49" w:name="_Toc15396612"/>
      <w:r>
        <w:rPr>
          <w:rStyle w:val="25"/>
          <w:rFonts w:hint="default" w:ascii="Times New Roman" w:hAnsi="Times New Roman" w:eastAsia="黑体" w:cs="Times New Roman"/>
          <w:b w:val="0"/>
        </w:rPr>
        <w:t>其他重要事项的情况说明</w:t>
      </w:r>
      <w:bookmarkEnd w:id="48"/>
      <w:bookmarkEnd w:id="49"/>
    </w:p>
    <w:p>
      <w:pPr>
        <w:pageBreakBefore w:val="0"/>
        <w:kinsoku/>
        <w:wordWrap/>
        <w:overflowPunct/>
        <w:topLinePunct w:val="0"/>
        <w:bidi w:val="0"/>
        <w:spacing w:line="576" w:lineRule="exact"/>
        <w:ind w:firstLine="642" w:firstLineChars="200"/>
        <w:outlineLvl w:val="2"/>
        <w:rPr>
          <w:rFonts w:hint="default" w:ascii="Times New Roman" w:hAnsi="Times New Roman" w:eastAsia="仿宋" w:cs="Times New Roman"/>
          <w:sz w:val="32"/>
          <w:szCs w:val="32"/>
        </w:rPr>
      </w:pPr>
      <w:bookmarkStart w:id="50" w:name="_Toc15377222"/>
      <w:r>
        <w:rPr>
          <w:rFonts w:hint="default" w:ascii="Times New Roman" w:hAnsi="Times New Roman" w:eastAsia="仿宋" w:cs="Times New Roman"/>
          <w:b/>
          <w:sz w:val="32"/>
          <w:szCs w:val="32"/>
        </w:rPr>
        <w:t>（一）机关运行经费支出情况</w:t>
      </w:r>
      <w:bookmarkEnd w:id="50"/>
    </w:p>
    <w:p>
      <w:pPr>
        <w:pageBreakBefore w:val="0"/>
        <w:kinsoku/>
        <w:wordWrap/>
        <w:overflowPunct/>
        <w:topLinePunct w:val="0"/>
        <w:bidi w:val="0"/>
        <w:spacing w:line="57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rPr>
        <w:t>21年，巴中市侨联机关运行经费支出23.3万元，比</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rPr>
        <w:t>20年增加0.1万元，增长0.43</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。主要原因是人员增加。</w:t>
      </w:r>
    </w:p>
    <w:p>
      <w:pPr>
        <w:pageBreakBefore w:val="0"/>
        <w:kinsoku/>
        <w:wordWrap/>
        <w:overflowPunct/>
        <w:topLinePunct w:val="0"/>
        <w:bidi w:val="0"/>
        <w:spacing w:line="576" w:lineRule="exact"/>
        <w:ind w:firstLine="642" w:firstLineChars="200"/>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（注：数据来源于财决附</w:t>
      </w:r>
      <w:r>
        <w:rPr>
          <w:rFonts w:hint="default" w:ascii="Times New Roman" w:hAnsi="Times New Roman" w:eastAsia="仿宋" w:cs="Times New Roman"/>
          <w:b/>
          <w:sz w:val="32"/>
          <w:szCs w:val="32"/>
        </w:rPr>
        <w:t>03</w:t>
      </w:r>
      <w:r>
        <w:rPr>
          <w:rFonts w:hint="default" w:ascii="Times New Roman" w:hAnsi="Times New Roman" w:eastAsia="仿宋" w:cs="Times New Roman"/>
          <w:b/>
          <w:sz w:val="32"/>
          <w:szCs w:val="32"/>
        </w:rPr>
        <w:t>表）</w:t>
      </w:r>
    </w:p>
    <w:p>
      <w:pPr>
        <w:pageBreakBefore w:val="0"/>
        <w:kinsoku/>
        <w:wordWrap/>
        <w:overflowPunct/>
        <w:topLinePunct w:val="0"/>
        <w:autoSpaceDE w:val="0"/>
        <w:autoSpaceDN w:val="0"/>
        <w:bidi w:val="0"/>
        <w:adjustRightInd w:val="0"/>
        <w:spacing w:line="576" w:lineRule="exact"/>
        <w:ind w:firstLine="642" w:firstLineChars="200"/>
        <w:jc w:val="left"/>
        <w:outlineLvl w:val="2"/>
        <w:rPr>
          <w:rFonts w:hint="default" w:ascii="Times New Roman" w:hAnsi="Times New Roman" w:eastAsia="仿宋" w:cs="Times New Roman"/>
          <w:b/>
          <w:sz w:val="32"/>
          <w:szCs w:val="32"/>
        </w:rPr>
      </w:pPr>
      <w:bookmarkStart w:id="51" w:name="_Toc15377223"/>
      <w:r>
        <w:rPr>
          <w:rFonts w:hint="default" w:ascii="Times New Roman" w:hAnsi="Times New Roman" w:eastAsia="仿宋" w:cs="Times New Roman"/>
          <w:b/>
          <w:sz w:val="32"/>
          <w:szCs w:val="32"/>
        </w:rPr>
        <w:t>（二）政府采购支出情况</w:t>
      </w:r>
      <w:bookmarkEnd w:id="51"/>
    </w:p>
    <w:p>
      <w:pPr>
        <w:pageBreakBefore w:val="0"/>
        <w:kinsoku/>
        <w:wordWrap/>
        <w:overflowPunct/>
        <w:topLinePunct w:val="0"/>
        <w:bidi w:val="0"/>
        <w:spacing w:line="57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rPr>
        <w:t>21年，巴中市侨联政府采购支出总额0万元，其中：政府采购货物支出0万元、政府采购工程支出0万元、政府采购服务支出0万元。主要用于</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（具体工作）。授予中小企业合同金额0万元，占政府采购支出总额的0</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，其中：授予小微企业合同金额0万元，占政府采购支出总额的0</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w:t>
      </w:r>
    </w:p>
    <w:p>
      <w:pPr>
        <w:pageBreakBefore w:val="0"/>
        <w:kinsoku/>
        <w:wordWrap/>
        <w:overflowPunct/>
        <w:topLinePunct w:val="0"/>
        <w:bidi w:val="0"/>
        <w:spacing w:line="576" w:lineRule="exact"/>
        <w:ind w:firstLine="642" w:firstLineChars="200"/>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（注：数据来源于财决附</w:t>
      </w:r>
      <w:r>
        <w:rPr>
          <w:rFonts w:hint="default" w:ascii="Times New Roman" w:hAnsi="Times New Roman" w:eastAsia="仿宋" w:cs="Times New Roman"/>
          <w:b/>
          <w:sz w:val="32"/>
          <w:szCs w:val="32"/>
        </w:rPr>
        <w:t>03</w:t>
      </w:r>
      <w:r>
        <w:rPr>
          <w:rFonts w:hint="default" w:ascii="Times New Roman" w:hAnsi="Times New Roman" w:eastAsia="仿宋" w:cs="Times New Roman"/>
          <w:b/>
          <w:sz w:val="32"/>
          <w:szCs w:val="32"/>
        </w:rPr>
        <w:t>表）</w:t>
      </w:r>
    </w:p>
    <w:p>
      <w:pPr>
        <w:pageBreakBefore w:val="0"/>
        <w:kinsoku/>
        <w:wordWrap/>
        <w:overflowPunct/>
        <w:topLinePunct w:val="0"/>
        <w:autoSpaceDE w:val="0"/>
        <w:autoSpaceDN w:val="0"/>
        <w:bidi w:val="0"/>
        <w:adjustRightInd w:val="0"/>
        <w:spacing w:line="576" w:lineRule="exact"/>
        <w:ind w:firstLine="642" w:firstLineChars="200"/>
        <w:jc w:val="left"/>
        <w:outlineLvl w:val="2"/>
        <w:rPr>
          <w:rFonts w:hint="default" w:ascii="Times New Roman" w:hAnsi="Times New Roman" w:eastAsia="仿宋" w:cs="Times New Roman"/>
          <w:b/>
          <w:sz w:val="32"/>
          <w:szCs w:val="32"/>
        </w:rPr>
      </w:pPr>
      <w:bookmarkStart w:id="52" w:name="_Toc15377224"/>
      <w:r>
        <w:rPr>
          <w:rFonts w:hint="default" w:ascii="Times New Roman" w:hAnsi="Times New Roman" w:eastAsia="仿宋" w:cs="Times New Roman"/>
          <w:b/>
          <w:sz w:val="32"/>
          <w:szCs w:val="32"/>
        </w:rPr>
        <w:t>（三）国有资产占有使用情况</w:t>
      </w:r>
      <w:bookmarkEnd w:id="52"/>
    </w:p>
    <w:p>
      <w:pPr>
        <w:pageBreakBefore w:val="0"/>
        <w:kinsoku/>
        <w:wordWrap/>
        <w:overflowPunct/>
        <w:topLinePunct w:val="0"/>
        <w:autoSpaceDE w:val="0"/>
        <w:autoSpaceDN w:val="0"/>
        <w:bidi w:val="0"/>
        <w:adjustRightInd w:val="0"/>
        <w:spacing w:line="576"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截至</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rPr>
        <w:t>21年</w:t>
      </w:r>
      <w:r>
        <w:rPr>
          <w:rFonts w:hint="default" w:ascii="Times New Roman" w:hAnsi="Times New Roman" w:eastAsia="仿宋_GB2312" w:cs="Times New Roman"/>
          <w:sz w:val="32"/>
          <w:szCs w:val="32"/>
        </w:rPr>
        <w:t>12</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rPr>
        <w:t>31</w:t>
      </w:r>
      <w:r>
        <w:rPr>
          <w:rFonts w:hint="default" w:ascii="Times New Roman" w:hAnsi="Times New Roman" w:eastAsia="仿宋_GB2312" w:cs="Times New Roman"/>
          <w:sz w:val="32"/>
          <w:szCs w:val="32"/>
        </w:rPr>
        <w:t>日，巴中市侨联共有车辆0辆，其中：主要领导干部用车0辆、机要通信用车0辆、应急保障用车0辆、其他用车0辆……其他用车主要是用于……单价</w:t>
      </w:r>
      <w:r>
        <w:rPr>
          <w:rFonts w:hint="default" w:ascii="Times New Roman" w:hAnsi="Times New Roman" w:eastAsia="仿宋_GB2312" w:cs="Times New Roman"/>
          <w:sz w:val="32"/>
          <w:szCs w:val="32"/>
        </w:rPr>
        <w:t>50</w:t>
      </w:r>
      <w:r>
        <w:rPr>
          <w:rFonts w:hint="default" w:ascii="Times New Roman" w:hAnsi="Times New Roman" w:eastAsia="仿宋_GB2312" w:cs="Times New Roman"/>
          <w:sz w:val="32"/>
          <w:szCs w:val="32"/>
        </w:rPr>
        <w:t>万元以上通用设备0台（套），单价</w:t>
      </w:r>
      <w:r>
        <w:rPr>
          <w:rFonts w:hint="default" w:ascii="Times New Roman" w:hAnsi="Times New Roman" w:eastAsia="仿宋_GB2312" w:cs="Times New Roman"/>
          <w:sz w:val="32"/>
          <w:szCs w:val="32"/>
        </w:rPr>
        <w:t>100</w:t>
      </w:r>
      <w:r>
        <w:rPr>
          <w:rFonts w:hint="default" w:ascii="Times New Roman" w:hAnsi="Times New Roman" w:eastAsia="仿宋_GB2312" w:cs="Times New Roman"/>
          <w:sz w:val="32"/>
          <w:szCs w:val="32"/>
        </w:rPr>
        <w:t>万元以上专用设备0台（套）。</w:t>
      </w:r>
    </w:p>
    <w:p>
      <w:pPr>
        <w:pageBreakBefore w:val="0"/>
        <w:kinsoku/>
        <w:wordWrap/>
        <w:overflowPunct/>
        <w:topLinePunct w:val="0"/>
        <w:autoSpaceDE w:val="0"/>
        <w:autoSpaceDN w:val="0"/>
        <w:bidi w:val="0"/>
        <w:adjustRightInd w:val="0"/>
        <w:spacing w:line="576" w:lineRule="exact"/>
        <w:ind w:firstLine="642" w:firstLineChars="200"/>
        <w:jc w:val="left"/>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（注：数据来源于财决附</w:t>
      </w:r>
      <w:r>
        <w:rPr>
          <w:rFonts w:hint="default" w:ascii="Times New Roman" w:hAnsi="Times New Roman" w:eastAsia="仿宋" w:cs="Times New Roman"/>
          <w:b/>
          <w:sz w:val="32"/>
          <w:szCs w:val="32"/>
        </w:rPr>
        <w:t>03</w:t>
      </w:r>
      <w:r>
        <w:rPr>
          <w:rFonts w:hint="default" w:ascii="Times New Roman" w:hAnsi="Times New Roman" w:eastAsia="仿宋" w:cs="Times New Roman"/>
          <w:b/>
          <w:sz w:val="32"/>
          <w:szCs w:val="32"/>
        </w:rPr>
        <w:t>表，按部门决算报表填报数据罗列车辆情况。）</w:t>
      </w:r>
    </w:p>
    <w:p>
      <w:pPr>
        <w:pageBreakBefore w:val="0"/>
        <w:kinsoku/>
        <w:wordWrap/>
        <w:overflowPunct/>
        <w:topLinePunct w:val="0"/>
        <w:autoSpaceDE w:val="0"/>
        <w:autoSpaceDN w:val="0"/>
        <w:bidi w:val="0"/>
        <w:adjustRightInd w:val="0"/>
        <w:spacing w:line="576" w:lineRule="exact"/>
        <w:ind w:firstLine="642" w:firstLineChars="200"/>
        <w:jc w:val="left"/>
        <w:outlineLvl w:val="2"/>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（四）预算绩效管理情况</w:t>
      </w:r>
    </w:p>
    <w:p>
      <w:pPr>
        <w:pageBreakBefore w:val="0"/>
        <w:kinsoku/>
        <w:wordWrap/>
        <w:overflowPunct/>
        <w:topLinePunct w:val="0"/>
        <w:bidi w:val="0"/>
        <w:adjustRightInd w:val="0"/>
        <w:spacing w:line="576"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预算绩效管理要求，本部门在2021年度预算编制阶段，组织对8个常规项目（党建工作经费、依法治市工作经费、公务接待费、会议费、资料印刷费、网络运行维护费、驻村第一书记工作经费、脱贫攻坚工作经费）和4个发展项目（侨胞之家建设经费、对外联谊合作经费、困难侨眷帮扶工作经费、侨界维权工作经费）12个项目开展了预算事前绩效评估，对12个项目全部编制了绩效目标，预算执行过程中，选取5个项目开展绩效监控，年终执行完毕后，对5个项目开展了绩效自评。同时，本部门对2021年部门整体开展绩效自评《巴中市归国华侨联合会2022年度整体支出绩效自评报告》见附件（第四部分）。</w:t>
      </w:r>
    </w:p>
    <w:p>
      <w:pPr>
        <w:pageBreakBefore w:val="0"/>
        <w:widowControl/>
        <w:kinsoku/>
        <w:wordWrap/>
        <w:overflowPunct/>
        <w:topLinePunct w:val="0"/>
        <w:bidi w:val="0"/>
        <w:spacing w:line="576" w:lineRule="exact"/>
        <w:jc w:val="left"/>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br w:type="page"/>
      </w:r>
    </w:p>
    <w:p>
      <w:pPr>
        <w:pageBreakBefore w:val="0"/>
        <w:numPr>
          <w:ilvl w:val="0"/>
          <w:numId w:val="3"/>
        </w:numPr>
        <w:kinsoku/>
        <w:wordWrap/>
        <w:overflowPunct/>
        <w:topLinePunct w:val="0"/>
        <w:bidi w:val="0"/>
        <w:spacing w:line="576" w:lineRule="exact"/>
        <w:ind w:firstLine="660" w:firstLineChars="150"/>
        <w:jc w:val="center"/>
        <w:outlineLvl w:val="0"/>
        <w:rPr>
          <w:rStyle w:val="24"/>
          <w:rFonts w:hint="default" w:ascii="Times New Roman" w:hAnsi="Times New Roman" w:eastAsia="黑体" w:cs="Times New Roman"/>
          <w:b w:val="0"/>
        </w:rPr>
      </w:pPr>
      <w:bookmarkStart w:id="53" w:name="_Toc15396613"/>
      <w:bookmarkStart w:id="54" w:name="_Toc15377225"/>
      <w:r>
        <w:rPr>
          <w:rFonts w:hint="default" w:ascii="Times New Roman" w:hAnsi="Times New Roman" w:eastAsia="黑体" w:cs="Times New Roman"/>
          <w:sz w:val="44"/>
          <w:szCs w:val="44"/>
        </w:rPr>
        <w:t>名</w:t>
      </w:r>
      <w:r>
        <w:rPr>
          <w:rStyle w:val="24"/>
          <w:rFonts w:hint="default" w:ascii="Times New Roman" w:hAnsi="Times New Roman" w:eastAsia="黑体" w:cs="Times New Roman"/>
          <w:b w:val="0"/>
        </w:rPr>
        <w:t>词解释</w:t>
      </w:r>
      <w:bookmarkEnd w:id="53"/>
      <w:bookmarkEnd w:id="54"/>
    </w:p>
    <w:p>
      <w:pPr>
        <w:pageBreakBefore w:val="0"/>
        <w:kinsoku/>
        <w:wordWrap/>
        <w:overflowPunct/>
        <w:topLinePunct w:val="0"/>
        <w:bidi w:val="0"/>
        <w:spacing w:line="576" w:lineRule="exact"/>
        <w:jc w:val="left"/>
        <w:rPr>
          <w:rFonts w:hint="default" w:ascii="Times New Roman" w:hAnsi="Times New Roman" w:cs="Times New Roman"/>
          <w:b/>
          <w:sz w:val="44"/>
          <w:szCs w:val="44"/>
        </w:rPr>
      </w:pPr>
    </w:p>
    <w:p>
      <w:pPr>
        <w:pStyle w:val="22"/>
        <w:pageBreakBefore w:val="0"/>
        <w:kinsoku/>
        <w:wordWrap/>
        <w:overflowPunct/>
        <w:topLinePunct w:val="0"/>
        <w:bidi w:val="0"/>
        <w:spacing w:before="93" w:line="57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rPr>
        <w:t>财政拨款收入：指单位从同级财政部门取得的财政预算资金。</w:t>
      </w:r>
    </w:p>
    <w:p>
      <w:pPr>
        <w:pStyle w:val="22"/>
        <w:pageBreakBefore w:val="0"/>
        <w:kinsoku/>
        <w:wordWrap/>
        <w:overflowPunct/>
        <w:topLinePunct w:val="0"/>
        <w:bidi w:val="0"/>
        <w:spacing w:line="57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rPr>
        <w:t>事业收入：指事业单位开展专业业务活动及辅助活动取得的收入。如…（二级预算单位事业收入情况）等。</w:t>
      </w:r>
    </w:p>
    <w:p>
      <w:pPr>
        <w:pStyle w:val="22"/>
        <w:pageBreakBefore w:val="0"/>
        <w:kinsoku/>
        <w:wordWrap/>
        <w:overflowPunct/>
        <w:topLinePunct w:val="0"/>
        <w:bidi w:val="0"/>
        <w:spacing w:line="57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rPr>
        <w:t>经营收入：指事业单位在专业业务活动及其辅助活动之外开展非独立核算经营活动取得的收入。如…（二级预算单位经营收入情况）等。</w:t>
      </w:r>
    </w:p>
    <w:p>
      <w:pPr>
        <w:pStyle w:val="22"/>
        <w:pageBreakBefore w:val="0"/>
        <w:kinsoku/>
        <w:wordWrap/>
        <w:overflowPunct/>
        <w:topLinePunct w:val="0"/>
        <w:bidi w:val="0"/>
        <w:spacing w:line="57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rPr>
        <w:t>其他收入：指单位取得的除上述收入以外的各项收入。主要是…（收入类型）等。</w:t>
      </w:r>
      <w:r>
        <w:rPr>
          <w:rFonts w:hint="default" w:ascii="Times New Roman" w:hAnsi="Times New Roman" w:eastAsia="仿宋_GB2312" w:cs="Times New Roman"/>
          <w:sz w:val="32"/>
          <w:szCs w:val="32"/>
        </w:rPr>
        <w:t xml:space="preserve"> </w:t>
      </w:r>
    </w:p>
    <w:p>
      <w:pPr>
        <w:pStyle w:val="22"/>
        <w:pageBreakBefore w:val="0"/>
        <w:kinsoku/>
        <w:wordWrap/>
        <w:overflowPunct/>
        <w:topLinePunct w:val="0"/>
        <w:bidi w:val="0"/>
        <w:spacing w:line="57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rPr>
        <w:t>使用非财政拨款结余：指事业单位使用以前年度积累的非财政拨款结余弥补当年收支差额的金额。</w:t>
      </w:r>
      <w:r>
        <w:rPr>
          <w:rFonts w:hint="default" w:ascii="Times New Roman" w:hAnsi="Times New Roman" w:eastAsia="仿宋_GB2312" w:cs="Times New Roman"/>
          <w:sz w:val="32"/>
          <w:szCs w:val="32"/>
        </w:rPr>
        <w:t xml:space="preserve"> </w:t>
      </w:r>
    </w:p>
    <w:p>
      <w:pPr>
        <w:pStyle w:val="22"/>
        <w:pageBreakBefore w:val="0"/>
        <w:kinsoku/>
        <w:wordWrap/>
        <w:overflowPunct/>
        <w:topLinePunct w:val="0"/>
        <w:bidi w:val="0"/>
        <w:spacing w:line="57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w:t>
      </w:r>
      <w:r>
        <w:rPr>
          <w:rFonts w:hint="default" w:ascii="Times New Roman" w:hAnsi="Times New Roman" w:eastAsia="仿宋_GB2312" w:cs="Times New Roman"/>
          <w:sz w:val="32"/>
          <w:szCs w:val="32"/>
        </w:rPr>
        <w:t>年初结转和结余：指以前年度尚未完成、结转到本年按有关规定继续使用的资金。</w:t>
      </w:r>
      <w:r>
        <w:rPr>
          <w:rFonts w:hint="default" w:ascii="Times New Roman" w:hAnsi="Times New Roman" w:eastAsia="仿宋_GB2312" w:cs="Times New Roman"/>
          <w:sz w:val="32"/>
          <w:szCs w:val="32"/>
        </w:rPr>
        <w:t xml:space="preserve"> </w:t>
      </w:r>
    </w:p>
    <w:p>
      <w:pPr>
        <w:pStyle w:val="22"/>
        <w:pageBreakBefore w:val="0"/>
        <w:kinsoku/>
        <w:wordWrap/>
        <w:overflowPunct/>
        <w:topLinePunct w:val="0"/>
        <w:bidi w:val="0"/>
        <w:spacing w:line="57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w:t>
      </w:r>
      <w:r>
        <w:rPr>
          <w:rFonts w:hint="default" w:ascii="Times New Roman" w:hAnsi="Times New Roman" w:eastAsia="仿宋_GB2312" w:cs="Times New Roman"/>
          <w:sz w:val="32"/>
          <w:szCs w:val="32"/>
        </w:rPr>
        <w:t>结余分配：指事业单位按照会计制度规定缴纳的所得税、提取的专用结余以及转入非财政拨款结余的金额等。</w:t>
      </w:r>
    </w:p>
    <w:p>
      <w:pPr>
        <w:pStyle w:val="22"/>
        <w:pageBreakBefore w:val="0"/>
        <w:kinsoku/>
        <w:wordWrap/>
        <w:overflowPunct/>
        <w:topLinePunct w:val="0"/>
        <w:bidi w:val="0"/>
        <w:spacing w:line="57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w:t>
      </w:r>
      <w:r>
        <w:rPr>
          <w:rFonts w:hint="default" w:ascii="Times New Roman" w:hAnsi="Times New Roman" w:eastAsia="仿宋_GB2312" w:cs="Times New Roman"/>
          <w:sz w:val="32"/>
          <w:szCs w:val="32"/>
        </w:rPr>
        <w:t>、年末结转和结余：指单位按有关规定结转到下年或以后年度继续使用的资金。</w:t>
      </w:r>
    </w:p>
    <w:p>
      <w:pPr>
        <w:pageBreakBefore w:val="0"/>
        <w:kinsoku/>
        <w:wordWrap/>
        <w:overflowPunct/>
        <w:topLinePunct w:val="0"/>
        <w:bidi w:val="0"/>
        <w:spacing w:line="576"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9.一般公共服务（类）群众团体事务（款）行政运行（款）</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rPr>
        <w:t>反映行政单位（包括实行公务员管理的事业单位）的基本支出。</w:t>
      </w:r>
    </w:p>
    <w:p>
      <w:pPr>
        <w:pageBreakBefore w:val="0"/>
        <w:kinsoku/>
        <w:wordWrap/>
        <w:overflowPunct/>
        <w:topLinePunct w:val="0"/>
        <w:bidi w:val="0"/>
        <w:spacing w:line="576"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10.一般公共服务（类）群众团体事务（款）事业运行（款）：反映事业单位基本支出，不包括行政单位（包括实行公务员管理的事业单位）后勤服务中心、医务室等附属事业单位。</w:t>
      </w:r>
    </w:p>
    <w:p>
      <w:pPr>
        <w:pageBreakBefore w:val="0"/>
        <w:kinsoku/>
        <w:wordWrap/>
        <w:overflowPunct/>
        <w:topLinePunct w:val="0"/>
        <w:bidi w:val="0"/>
        <w:spacing w:line="576"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11.一般公共服务（类）群众团体事务（款）一般行政管理事务（款）：反映行政单位（包括实行公务员管理的事业单位）未单独设置项级科目的其他项目支出 。</w:t>
      </w:r>
    </w:p>
    <w:p>
      <w:pPr>
        <w:pageBreakBefore w:val="0"/>
        <w:kinsoku/>
        <w:wordWrap/>
        <w:overflowPunct/>
        <w:topLinePunct w:val="0"/>
        <w:bidi w:val="0"/>
        <w:spacing w:line="576"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12.一般公共服务（类）群众团体事务（款）其他群众团体事务支出（款）：反映除上述项目以外其他用于群众团体事务方面的支出。</w:t>
      </w:r>
    </w:p>
    <w:p>
      <w:pPr>
        <w:pageBreakBefore w:val="0"/>
        <w:kinsoku/>
        <w:wordWrap/>
        <w:overflowPunct/>
        <w:topLinePunct w:val="0"/>
        <w:bidi w:val="0"/>
        <w:spacing w:line="576"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13</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rPr>
        <w:t>农林水（类）扶贫（款）其他扶贫支出（款）</w:t>
      </w: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sz w:val="32"/>
          <w:szCs w:val="32"/>
        </w:rPr>
        <w:t>反映除项目以外其他用于扶贫方面的支出。</w:t>
      </w:r>
    </w:p>
    <w:p>
      <w:pPr>
        <w:pageBreakBefore w:val="0"/>
        <w:kinsoku/>
        <w:wordWrap/>
        <w:overflowPunct/>
        <w:topLinePunct w:val="0"/>
        <w:bidi w:val="0"/>
        <w:spacing w:line="576"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14</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rPr>
        <w:t>住房保障（类）住房改革支出（款）住房公积金（项）</w:t>
      </w:r>
      <w:r>
        <w:rPr>
          <w:rFonts w:hint="default" w:ascii="Times New Roman" w:hAnsi="Times New Roman" w:eastAsia="仿宋_GB2312" w:cs="Times New Roman"/>
          <w:color w:val="000000"/>
          <w:sz w:val="32"/>
          <w:szCs w:val="32"/>
        </w:rPr>
        <w:t>: 反映行政事业单位按人力资源和社会保障部、财政部规定的基本工资和津贴补贴以及规定比例为职工缴纳的住房公积金。</w:t>
      </w:r>
    </w:p>
    <w:p>
      <w:pPr>
        <w:pageBreakBefore w:val="0"/>
        <w:kinsoku/>
        <w:wordWrap/>
        <w:overflowPunct/>
        <w:topLinePunct w:val="0"/>
        <w:bidi w:val="0"/>
        <w:spacing w:line="576"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15</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rPr>
        <w:t>社会保障和就业（类）行政事业单位离退休（款）机关事业单位基本养老保险缴费支出（款）</w:t>
      </w:r>
      <w:r>
        <w:rPr>
          <w:rFonts w:hint="default" w:ascii="Times New Roman" w:hAnsi="Times New Roman" w:eastAsia="仿宋_GB2312" w:cs="Times New Roman"/>
          <w:color w:val="000000"/>
          <w:sz w:val="32"/>
          <w:szCs w:val="32"/>
        </w:rPr>
        <w:t>: 反映</w:t>
      </w:r>
      <w:r>
        <w:rPr>
          <w:rFonts w:hint="default" w:ascii="Times New Roman" w:hAnsi="Times New Roman" w:eastAsia="仿宋_GB2312" w:cs="Times New Roman"/>
          <w:color w:val="000000"/>
          <w:sz w:val="32"/>
          <w:szCs w:val="32"/>
        </w:rPr>
        <w:t>机关事业单位实施养老保险制度由单位缴纳的基本养老保险费支出</w:t>
      </w:r>
      <w:r>
        <w:rPr>
          <w:rFonts w:hint="default" w:ascii="Times New Roman" w:hAnsi="Times New Roman" w:eastAsia="仿宋_GB2312" w:cs="Times New Roman"/>
          <w:color w:val="000000"/>
          <w:sz w:val="32"/>
          <w:szCs w:val="32"/>
        </w:rPr>
        <w:t>。</w:t>
      </w:r>
    </w:p>
    <w:p>
      <w:pPr>
        <w:pageBreakBefore w:val="0"/>
        <w:kinsoku/>
        <w:wordWrap/>
        <w:overflowPunct/>
        <w:topLinePunct w:val="0"/>
        <w:bidi w:val="0"/>
        <w:spacing w:line="576"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16.社会保障和就业（类）行政事业单位离退休（款）其他行政事业单位离退休支出（款）</w:t>
      </w: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sz w:val="32"/>
          <w:szCs w:val="32"/>
        </w:rPr>
        <w:t>反映除上述项目以外其他用于行政事业单位离退休方面的支出。</w:t>
      </w:r>
    </w:p>
    <w:p>
      <w:pPr>
        <w:pageBreakBefore w:val="0"/>
        <w:kinsoku/>
        <w:wordWrap/>
        <w:overflowPunct/>
        <w:topLinePunct w:val="0"/>
        <w:bidi w:val="0"/>
        <w:spacing w:line="576" w:lineRule="exact"/>
        <w:ind w:firstLine="640" w:firstLineChars="200"/>
        <w:rPr>
          <w:rFonts w:hint="default" w:ascii="Times New Roman" w:hAnsi="Times New Roman" w:eastAsia="仿宋_GB2312" w:cs="Times New Roman"/>
        </w:rPr>
      </w:pPr>
      <w:r>
        <w:rPr>
          <w:rFonts w:hint="default" w:ascii="Times New Roman" w:hAnsi="Times New Roman" w:eastAsia="仿宋_GB2312" w:cs="Times New Roman"/>
          <w:color w:val="000000"/>
          <w:sz w:val="32"/>
          <w:szCs w:val="32"/>
        </w:rPr>
        <w:t>17</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rPr>
        <w:t>医疗卫生与计划生育（类）行政事业单位医疗（款）行政单位医疗（款）</w:t>
      </w:r>
      <w:r>
        <w:rPr>
          <w:rFonts w:hint="default" w:ascii="Times New Roman" w:hAnsi="Times New Roman" w:eastAsia="仿宋_GB2312" w:cs="Times New Roman"/>
          <w:color w:val="000000"/>
          <w:sz w:val="32"/>
          <w:szCs w:val="32"/>
        </w:rPr>
        <w:t>: 反映</w:t>
      </w:r>
      <w:r>
        <w:rPr>
          <w:rFonts w:hint="default" w:ascii="Times New Roman" w:hAnsi="Times New Roman" w:eastAsia="仿宋_GB2312" w:cs="Times New Roman"/>
          <w:color w:val="000000"/>
          <w:sz w:val="32"/>
          <w:szCs w:val="32"/>
        </w:rPr>
        <w:t>财政部门集中安排的行政单位基本医疗保险缴费经费，未参加医疗保险的行政单位的公费医疗经费，按国家规定享受离休人员、红军老战士待遇人员的医疗经费。</w:t>
      </w:r>
    </w:p>
    <w:p>
      <w:pPr>
        <w:pageBreakBefore w:val="0"/>
        <w:kinsoku/>
        <w:wordWrap/>
        <w:overflowPunct/>
        <w:topLinePunct w:val="0"/>
        <w:bidi w:val="0"/>
        <w:spacing w:line="576"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18.医疗卫生与计划生育（类）行政事业单位医疗（款）事业单位医疗（款）</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rPr>
        <w:t>反映财政部门集中安排的事业单位基本医疗保险缴费经费，未参加医疗保险的事业单位的公费医疗经费，按国家规定享受离休人员待遇的医疗经费。</w:t>
      </w:r>
    </w:p>
    <w:p>
      <w:pPr>
        <w:pageBreakBefore w:val="0"/>
        <w:kinsoku/>
        <w:wordWrap/>
        <w:overflowPunct/>
        <w:topLinePunct w:val="0"/>
        <w:bidi w:val="0"/>
        <w:spacing w:line="576"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19．医疗卫生与计划生育（类）行政事业单位医疗（款）公务员医疗补助（款）</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rPr>
        <w:t xml:space="preserve"> 反映财政部门集中安排的公务员医疗补助经费。</w:t>
      </w:r>
    </w:p>
    <w:p>
      <w:pPr>
        <w:pageBreakBefore w:val="0"/>
        <w:kinsoku/>
        <w:wordWrap/>
        <w:overflowPunct/>
        <w:topLinePunct w:val="0"/>
        <w:bidi w:val="0"/>
        <w:spacing w:line="576"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p>
    <w:p>
      <w:pPr>
        <w:pageBreakBefore w:val="0"/>
        <w:kinsoku/>
        <w:wordWrap/>
        <w:overflowPunct/>
        <w:topLinePunct w:val="0"/>
        <w:bidi w:val="0"/>
        <w:spacing w:line="576" w:lineRule="exact"/>
        <w:ind w:firstLine="640"/>
        <w:rPr>
          <w:rFonts w:hint="default" w:ascii="Times New Roman" w:hAnsi="Times New Roman" w:eastAsia="仿宋" w:cs="Times New Roman"/>
          <w:b/>
          <w:color w:val="000000"/>
          <w:sz w:val="32"/>
          <w:szCs w:val="32"/>
        </w:rPr>
      </w:pPr>
      <w:r>
        <w:rPr>
          <w:rFonts w:hint="default" w:ascii="Times New Roman" w:hAnsi="Times New Roman" w:eastAsia="仿宋" w:cs="Times New Roman"/>
          <w:b/>
          <w:color w:val="000000"/>
          <w:sz w:val="32"/>
          <w:szCs w:val="32"/>
        </w:rPr>
        <w:t>（解释本部门决算报表中全部功能分类科目至项级，请参照《</w:t>
      </w:r>
      <w:r>
        <w:rPr>
          <w:rFonts w:hint="default" w:ascii="Times New Roman" w:hAnsi="Times New Roman" w:eastAsia="仿宋" w:cs="Times New Roman"/>
          <w:b/>
          <w:color w:val="000000"/>
          <w:sz w:val="32"/>
          <w:szCs w:val="32"/>
        </w:rPr>
        <w:t>2020</w:t>
      </w:r>
      <w:r>
        <w:rPr>
          <w:rFonts w:hint="default" w:ascii="Times New Roman" w:hAnsi="Times New Roman" w:eastAsia="仿宋" w:cs="Times New Roman"/>
          <w:b/>
          <w:color w:val="000000"/>
          <w:sz w:val="32"/>
          <w:szCs w:val="32"/>
        </w:rPr>
        <w:t>年政府收支分类科目》增减内容。）</w:t>
      </w:r>
    </w:p>
    <w:p>
      <w:pPr>
        <w:pageBreakBefore w:val="0"/>
        <w:kinsoku/>
        <w:wordWrap/>
        <w:overflowPunct/>
        <w:topLinePunct w:val="0"/>
        <w:bidi w:val="0"/>
        <w:spacing w:line="576"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27.</w:t>
      </w:r>
      <w:r>
        <w:rPr>
          <w:rFonts w:hint="default" w:ascii="Times New Roman" w:hAnsi="Times New Roman" w:eastAsia="仿宋_GB2312" w:cs="Times New Roman"/>
          <w:color w:val="000000"/>
          <w:sz w:val="32"/>
          <w:szCs w:val="32"/>
        </w:rPr>
        <w:t>基本支出：指为保障机构正常运转、完成日常工作任务而发生的人员支出和公用支出。</w:t>
      </w:r>
    </w:p>
    <w:p>
      <w:pPr>
        <w:pageBreakBefore w:val="0"/>
        <w:kinsoku/>
        <w:wordWrap/>
        <w:overflowPunct/>
        <w:topLinePunct w:val="0"/>
        <w:bidi w:val="0"/>
        <w:spacing w:line="576"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28.</w:t>
      </w:r>
      <w:r>
        <w:rPr>
          <w:rFonts w:hint="default" w:ascii="Times New Roman" w:hAnsi="Times New Roman" w:eastAsia="仿宋_GB2312" w:cs="Times New Roman"/>
          <w:color w:val="000000"/>
          <w:sz w:val="32"/>
          <w:szCs w:val="32"/>
        </w:rPr>
        <w:t>项目支出：指在基本支出之外为完成特定行政任务和事业发展目标所发生的支出。</w:t>
      </w:r>
      <w:r>
        <w:rPr>
          <w:rFonts w:hint="default" w:ascii="Times New Roman" w:hAnsi="Times New Roman" w:eastAsia="仿宋_GB2312" w:cs="Times New Roman"/>
          <w:color w:val="000000"/>
          <w:sz w:val="32"/>
          <w:szCs w:val="32"/>
        </w:rPr>
        <w:t xml:space="preserve"> </w:t>
      </w:r>
    </w:p>
    <w:p>
      <w:pPr>
        <w:pageBreakBefore w:val="0"/>
        <w:kinsoku/>
        <w:wordWrap/>
        <w:overflowPunct/>
        <w:topLinePunct w:val="0"/>
        <w:bidi w:val="0"/>
        <w:spacing w:line="576"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29.</w:t>
      </w:r>
      <w:r>
        <w:rPr>
          <w:rFonts w:hint="default" w:ascii="Times New Roman" w:hAnsi="Times New Roman" w:eastAsia="仿宋_GB2312" w:cs="Times New Roman"/>
          <w:color w:val="000000"/>
          <w:sz w:val="32"/>
          <w:szCs w:val="32"/>
        </w:rPr>
        <w:t>经营支出：指事业单位在专业业务活动及其辅助活动之外开展非独立核算经营活动发生的支出。</w:t>
      </w:r>
    </w:p>
    <w:p>
      <w:pPr>
        <w:pStyle w:val="22"/>
        <w:pageBreakBefore w:val="0"/>
        <w:kinsoku/>
        <w:wordWrap/>
        <w:overflowPunct/>
        <w:topLinePunct w:val="0"/>
        <w:bidi w:val="0"/>
        <w:spacing w:line="57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30.</w:t>
      </w:r>
      <w:r>
        <w:rPr>
          <w:rFonts w:hint="default" w:ascii="Times New Roman" w:hAnsi="Times New Roman" w:eastAsia="仿宋_GB2312" w:cs="Times New Roman"/>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pageBreakBefore w:val="0"/>
        <w:kinsoku/>
        <w:wordWrap/>
        <w:overflowPunct/>
        <w:topLinePunct w:val="0"/>
        <w:bidi w:val="0"/>
        <w:spacing w:line="57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31.</w:t>
      </w:r>
      <w:r>
        <w:rPr>
          <w:rFonts w:hint="default" w:ascii="Times New Roman" w:hAnsi="Times New Roman" w:eastAsia="仿宋_GB2312" w:cs="Times New Roman"/>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2"/>
        <w:pageBreakBefore w:val="0"/>
        <w:kinsoku/>
        <w:wordWrap/>
        <w:overflowPunct/>
        <w:topLinePunct w:val="0"/>
        <w:bidi w:val="0"/>
        <w:spacing w:line="57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32.</w:t>
      </w:r>
      <w:r>
        <w:rPr>
          <w:rFonts w:hint="default" w:ascii="Times New Roman" w:hAnsi="Times New Roman" w:eastAsia="仿宋_GB2312" w:cs="Times New Roman"/>
          <w:sz w:val="32"/>
          <w:szCs w:val="32"/>
        </w:rPr>
        <w:t>……。</w:t>
      </w:r>
    </w:p>
    <w:p>
      <w:pPr>
        <w:pStyle w:val="22"/>
        <w:pageBreakBefore w:val="0"/>
        <w:kinsoku/>
        <w:wordWrap/>
        <w:overflowPunct/>
        <w:topLinePunct w:val="0"/>
        <w:bidi w:val="0"/>
        <w:spacing w:line="576" w:lineRule="exact"/>
        <w:ind w:firstLine="640" w:firstLineChars="200"/>
        <w:rPr>
          <w:rFonts w:hint="default" w:ascii="Times New Roman" w:hAnsi="Times New Roman" w:eastAsia="仿宋_GB2312" w:cs="Times New Roman"/>
          <w:color w:val="auto"/>
          <w:sz w:val="32"/>
          <w:szCs w:val="32"/>
        </w:rPr>
      </w:pPr>
    </w:p>
    <w:p>
      <w:pPr>
        <w:pageBreakBefore w:val="0"/>
        <w:kinsoku/>
        <w:wordWrap/>
        <w:overflowPunct/>
        <w:topLinePunct w:val="0"/>
        <w:bidi w:val="0"/>
        <w:spacing w:line="576" w:lineRule="exact"/>
        <w:ind w:firstLine="642" w:firstLineChars="200"/>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（名词解释部分请根据各部门实际列支情况罗列，并根据本部门职责职能增减名词解释内容。）</w:t>
      </w:r>
    </w:p>
    <w:p>
      <w:pPr>
        <w:pageBreakBefore w:val="0"/>
        <w:kinsoku/>
        <w:wordWrap/>
        <w:overflowPunct/>
        <w:topLinePunct w:val="0"/>
        <w:bidi w:val="0"/>
        <w:spacing w:line="576" w:lineRule="exact"/>
        <w:jc w:val="center"/>
        <w:outlineLvl w:val="0"/>
        <w:rPr>
          <w:rStyle w:val="24"/>
          <w:rFonts w:hint="default" w:ascii="Times New Roman" w:hAnsi="Times New Roman" w:eastAsia="黑体" w:cs="Times New Roman"/>
          <w:b w:val="0"/>
        </w:rPr>
      </w:pPr>
      <w:bookmarkStart w:id="55" w:name="_Toc15377226"/>
      <w:r>
        <w:rPr>
          <w:rFonts w:hint="default" w:ascii="Times New Roman" w:hAnsi="Times New Roman" w:cs="Times New Roman"/>
          <w:b/>
          <w:sz w:val="44"/>
          <w:szCs w:val="44"/>
        </w:rPr>
        <w:br w:type="page"/>
      </w:r>
      <w:bookmarkStart w:id="56" w:name="_Toc15396614"/>
      <w:r>
        <w:rPr>
          <w:rFonts w:hint="default" w:ascii="Times New Roman" w:hAnsi="Times New Roman" w:eastAsia="黑体" w:cs="Times New Roman"/>
          <w:sz w:val="44"/>
          <w:szCs w:val="44"/>
        </w:rPr>
        <w:t>第</w:t>
      </w:r>
      <w:r>
        <w:rPr>
          <w:rStyle w:val="24"/>
          <w:rFonts w:hint="default" w:ascii="Times New Roman" w:hAnsi="Times New Roman" w:eastAsia="黑体" w:cs="Times New Roman"/>
          <w:b w:val="0"/>
        </w:rPr>
        <w:t>四部分 附件</w:t>
      </w:r>
      <w:bookmarkEnd w:id="56"/>
    </w:p>
    <w:p>
      <w:pPr>
        <w:pageBreakBefore w:val="0"/>
        <w:kinsoku/>
        <w:wordWrap/>
        <w:overflowPunct/>
        <w:topLinePunct w:val="0"/>
        <w:bidi w:val="0"/>
        <w:spacing w:line="576" w:lineRule="exact"/>
        <w:jc w:val="left"/>
        <w:outlineLvl w:val="0"/>
        <w:rPr>
          <w:rFonts w:hint="default" w:ascii="Times New Roman" w:hAnsi="Times New Roman" w:eastAsia="方正小标宋简体" w:cs="Times New Roman"/>
          <w:sz w:val="44"/>
          <w:szCs w:val="44"/>
        </w:rPr>
      </w:pPr>
      <w:r>
        <w:rPr>
          <w:rFonts w:hint="default" w:ascii="Times New Roman" w:hAnsi="Times New Roman" w:eastAsia="黑体" w:cs="Times New Roman"/>
          <w:sz w:val="32"/>
          <w:szCs w:val="32"/>
        </w:rPr>
        <w:t>附件</w:t>
      </w:r>
    </w:p>
    <w:p>
      <w:pPr>
        <w:pageBreakBefore w:val="0"/>
        <w:kinsoku/>
        <w:wordWrap/>
        <w:overflowPunct/>
        <w:topLinePunct w:val="0"/>
        <w:bidi w:val="0"/>
        <w:adjustRightInd w:val="0"/>
        <w:spacing w:line="576"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巴中市归国华侨联合会</w:t>
      </w:r>
    </w:p>
    <w:p>
      <w:pPr>
        <w:pageBreakBefore w:val="0"/>
        <w:kinsoku/>
        <w:wordWrap/>
        <w:overflowPunct/>
        <w:topLinePunct w:val="0"/>
        <w:bidi w:val="0"/>
        <w:spacing w:line="576" w:lineRule="exact"/>
        <w:jc w:val="center"/>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rPr>
        <w:t>2022年度整体支出绩效自评报告</w:t>
      </w:r>
    </w:p>
    <w:p>
      <w:pPr>
        <w:pageBreakBefore w:val="0"/>
        <w:kinsoku/>
        <w:wordWrap/>
        <w:overflowPunct/>
        <w:topLinePunct w:val="0"/>
        <w:bidi w:val="0"/>
        <w:spacing w:line="576" w:lineRule="exact"/>
        <w:rPr>
          <w:rFonts w:hint="default" w:ascii="Times New Roman" w:hAnsi="Times New Roman" w:eastAsia="方正仿宋简体" w:cs="Times New Roman"/>
          <w:color w:val="000000"/>
          <w:szCs w:val="32"/>
          <w:shd w:val="clear" w:color="auto" w:fill="FFFFFF"/>
        </w:rPr>
      </w:pPr>
    </w:p>
    <w:p>
      <w:pPr>
        <w:pageBreakBefore w:val="0"/>
        <w:kinsoku/>
        <w:wordWrap/>
        <w:overflowPunct/>
        <w:topLinePunct w:val="0"/>
        <w:bidi w:val="0"/>
        <w:spacing w:line="576" w:lineRule="exact"/>
        <w:ind w:firstLine="640" w:firstLineChars="200"/>
        <w:rPr>
          <w:rFonts w:hint="eastAsia" w:ascii="方正黑体_GBK" w:hAnsi="方正黑体_GBK" w:eastAsia="方正黑体_GBK" w:cs="方正黑体_GBK"/>
          <w:kern w:val="0"/>
          <w:sz w:val="32"/>
          <w:szCs w:val="32"/>
          <w:lang w:val="zh-CN"/>
        </w:rPr>
      </w:pPr>
      <w:r>
        <w:rPr>
          <w:rFonts w:hint="eastAsia" w:ascii="方正黑体_GBK" w:hAnsi="方正黑体_GBK" w:eastAsia="方正黑体_GBK" w:cs="方正黑体_GBK"/>
          <w:kern w:val="0"/>
          <w:sz w:val="32"/>
          <w:szCs w:val="32"/>
        </w:rPr>
        <w:t>一、</w:t>
      </w:r>
      <w:r>
        <w:rPr>
          <w:rFonts w:hint="eastAsia" w:ascii="方正黑体_GBK" w:hAnsi="方正黑体_GBK" w:eastAsia="方正黑体_GBK" w:cs="方正黑体_GBK"/>
          <w:kern w:val="0"/>
          <w:sz w:val="32"/>
          <w:szCs w:val="32"/>
          <w:lang w:val="zh-CN"/>
        </w:rPr>
        <w:t>部门概况</w:t>
      </w:r>
    </w:p>
    <w:p>
      <w:pPr>
        <w:pageBreakBefore w:val="0"/>
        <w:kinsoku/>
        <w:wordWrap/>
        <w:overflowPunct/>
        <w:topLinePunct w:val="0"/>
        <w:bidi w:val="0"/>
        <w:spacing w:line="576" w:lineRule="exact"/>
        <w:ind w:firstLine="640" w:firstLineChars="200"/>
        <w:rPr>
          <w:rFonts w:hint="eastAsia" w:ascii="方正楷体_GBK" w:hAnsi="方正楷体_GBK" w:eastAsia="方正楷体_GBK" w:cs="方正楷体_GBK"/>
          <w:kern w:val="0"/>
          <w:sz w:val="32"/>
          <w:szCs w:val="32"/>
          <w:lang w:val="zh-CN"/>
        </w:rPr>
      </w:pPr>
      <w:r>
        <w:rPr>
          <w:rFonts w:hint="eastAsia" w:ascii="方正楷体_GBK" w:hAnsi="方正楷体_GBK" w:eastAsia="方正楷体_GBK" w:cs="方正楷体_GBK"/>
          <w:kern w:val="0"/>
          <w:sz w:val="32"/>
          <w:szCs w:val="32"/>
          <w:lang w:val="zh-CN"/>
        </w:rPr>
        <w:t>（一）机构组成</w:t>
      </w:r>
    </w:p>
    <w:p>
      <w:pPr>
        <w:pageBreakBefore w:val="0"/>
        <w:kinsoku/>
        <w:wordWrap/>
        <w:overflowPunct/>
        <w:topLinePunct w:val="0"/>
        <w:bidi w:val="0"/>
        <w:spacing w:line="576"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巴中市归国华侨联合会是市委领导的由归侨侨眷组成的人民团体，依法按照《中华全国归国华侨联合会章程》独立自主开展工作，为参照公务员法管理的正县级事业单位。根据职责，巴中市归国华侨联合会设3个内设机构：综合科、经济科技科、联谊交流科。</w:t>
      </w:r>
    </w:p>
    <w:p>
      <w:pPr>
        <w:pageBreakBefore w:val="0"/>
        <w:kinsoku/>
        <w:wordWrap/>
        <w:overflowPunct/>
        <w:topLinePunct w:val="0"/>
        <w:bidi w:val="0"/>
        <w:spacing w:line="576" w:lineRule="exact"/>
        <w:ind w:firstLine="640" w:firstLineChars="200"/>
        <w:rPr>
          <w:rFonts w:hint="default" w:ascii="方正楷体_GBK" w:hAnsi="方正楷体_GBK" w:eastAsia="方正楷体_GBK" w:cs="方正楷体_GBK"/>
          <w:kern w:val="0"/>
          <w:sz w:val="32"/>
          <w:szCs w:val="32"/>
          <w:lang w:val="zh-CN"/>
        </w:rPr>
      </w:pPr>
      <w:r>
        <w:rPr>
          <w:rFonts w:hint="default" w:ascii="方正楷体_GBK" w:hAnsi="方正楷体_GBK" w:eastAsia="方正楷体_GBK" w:cs="方正楷体_GBK"/>
          <w:kern w:val="0"/>
          <w:sz w:val="32"/>
          <w:szCs w:val="32"/>
          <w:lang w:val="zh-CN"/>
        </w:rPr>
        <w:t>（二）机构职能</w:t>
      </w:r>
    </w:p>
    <w:p>
      <w:pPr>
        <w:pageBreakBefore w:val="0"/>
        <w:shd w:val="clear" w:color="auto" w:fill="FFFFFF"/>
        <w:kinsoku/>
        <w:wordWrap/>
        <w:overflowPunct/>
        <w:topLinePunct w:val="0"/>
        <w:bidi w:val="0"/>
        <w:spacing w:line="576"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1.宣传党和政府侨务工作的方针、政策，负责提出全市侨联工作的方针和计划，组织实施全市归侨、侨眷代表大会决议、决定的贯彻执行。</w:t>
      </w:r>
    </w:p>
    <w:p>
      <w:pPr>
        <w:pageBreakBefore w:val="0"/>
        <w:shd w:val="clear" w:color="auto" w:fill="FFFFFF"/>
        <w:kinsoku/>
        <w:wordWrap/>
        <w:overflowPunct/>
        <w:topLinePunct w:val="0"/>
        <w:bidi w:val="0"/>
        <w:spacing w:line="576"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2.做好海外侨胞的爱国统一战线工作，加强归侨、侨眷的法制教育和思想道德教育，团结和动员归侨、侨眷积极投身改革开放，为改革、发展、稳定服务。 </w:t>
      </w:r>
    </w:p>
    <w:p>
      <w:pPr>
        <w:pageBreakBefore w:val="0"/>
        <w:shd w:val="clear" w:color="auto" w:fill="FFFFFF"/>
        <w:kinsoku/>
        <w:wordWrap/>
        <w:overflowPunct/>
        <w:topLinePunct w:val="0"/>
        <w:bidi w:val="0"/>
        <w:spacing w:line="576"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3.加强对外联谊工作，拓展对外交往渠道,促进与海外侨胞进行经济、科技、文化等方面的合作交流。 </w:t>
      </w:r>
    </w:p>
    <w:p>
      <w:pPr>
        <w:pageBreakBefore w:val="0"/>
        <w:shd w:val="clear" w:color="auto" w:fill="FFFFFF"/>
        <w:kinsoku/>
        <w:wordWrap/>
        <w:overflowPunct/>
        <w:topLinePunct w:val="0"/>
        <w:bidi w:val="0"/>
        <w:spacing w:line="576" w:lineRule="exact"/>
        <w:ind w:firstLine="69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4.为归侨、侨眷兴办企事业和海外侨胞来巴中投资及合作交流服务。 </w:t>
      </w:r>
    </w:p>
    <w:p>
      <w:pPr>
        <w:pageBreakBefore w:val="0"/>
        <w:shd w:val="clear" w:color="auto" w:fill="FFFFFF"/>
        <w:kinsoku/>
        <w:wordWrap/>
        <w:overflowPunct/>
        <w:topLinePunct w:val="0"/>
        <w:bidi w:val="0"/>
        <w:spacing w:line="576"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5.参与协商、推荐人民代表大会和政治协商会议的归侨、侨眷代表、委员人选。 </w:t>
      </w:r>
    </w:p>
    <w:p>
      <w:pPr>
        <w:pageBreakBefore w:val="0"/>
        <w:shd w:val="clear" w:color="auto" w:fill="FFFFFF"/>
        <w:kinsoku/>
        <w:wordWrap/>
        <w:overflowPunct/>
        <w:topLinePunct w:val="0"/>
        <w:bidi w:val="0"/>
        <w:spacing w:line="576"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6.依照《中华人民共和国归侨、侨眷权益保护法》和有关法律，维护广大归侨、侨眷的合法权益和海外侨胞的正当权益，为他们提供法律咨询和服务。 </w:t>
      </w:r>
    </w:p>
    <w:p>
      <w:pPr>
        <w:pageBreakBefore w:val="0"/>
        <w:shd w:val="clear" w:color="auto" w:fill="FFFFFF"/>
        <w:kinsoku/>
        <w:wordWrap/>
        <w:overflowPunct/>
        <w:topLinePunct w:val="0"/>
        <w:bidi w:val="0"/>
        <w:spacing w:line="576"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7.加强侨联自身建设，参与归侨、侨眷干部的培养和推荐选拔工作。 </w:t>
      </w:r>
    </w:p>
    <w:p>
      <w:pPr>
        <w:pageBreakBefore w:val="0"/>
        <w:shd w:val="clear" w:color="auto" w:fill="FFFFFF"/>
        <w:kinsoku/>
        <w:wordWrap/>
        <w:overflowPunct/>
        <w:topLinePunct w:val="0"/>
        <w:bidi w:val="0"/>
        <w:spacing w:line="576"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8.指导全市各级侨联的工作。 </w:t>
      </w:r>
    </w:p>
    <w:p>
      <w:pPr>
        <w:pageBreakBefore w:val="0"/>
        <w:shd w:val="clear" w:color="auto" w:fill="FFFFFF"/>
        <w:kinsoku/>
        <w:wordWrap/>
        <w:overflowPunct/>
        <w:topLinePunct w:val="0"/>
        <w:bidi w:val="0"/>
        <w:spacing w:line="576"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9.完成市委、市政府交办的其他工作。</w:t>
      </w:r>
    </w:p>
    <w:p>
      <w:pPr>
        <w:pageBreakBefore w:val="0"/>
        <w:kinsoku/>
        <w:wordWrap/>
        <w:overflowPunct/>
        <w:topLinePunct w:val="0"/>
        <w:bidi w:val="0"/>
        <w:spacing w:line="576" w:lineRule="exact"/>
        <w:ind w:firstLine="640" w:firstLineChars="200"/>
        <w:rPr>
          <w:rFonts w:hint="default" w:ascii="方正楷体_GBK" w:hAnsi="方正楷体_GBK" w:eastAsia="方正楷体_GBK" w:cs="方正楷体_GBK"/>
          <w:kern w:val="0"/>
          <w:sz w:val="32"/>
          <w:szCs w:val="32"/>
          <w:lang w:val="zh-CN"/>
        </w:rPr>
      </w:pPr>
      <w:r>
        <w:rPr>
          <w:rFonts w:hint="default" w:ascii="方正楷体_GBK" w:hAnsi="方正楷体_GBK" w:eastAsia="方正楷体_GBK" w:cs="方正楷体_GBK"/>
          <w:kern w:val="0"/>
          <w:sz w:val="32"/>
          <w:szCs w:val="32"/>
          <w:lang w:val="zh-CN"/>
        </w:rPr>
        <w:t>（三）人员概况</w:t>
      </w:r>
    </w:p>
    <w:p>
      <w:pPr>
        <w:pageBreakBefore w:val="0"/>
        <w:kinsoku/>
        <w:wordWrap/>
        <w:overflowPunct/>
        <w:topLinePunct w:val="0"/>
        <w:bidi w:val="0"/>
        <w:spacing w:line="576"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巴中市归国华侨联合会参照公务员法制度管理事业编制7名，其中：主席1名，副主席1名，秘书长1名（按副县级配备）；科级领导职数3名，机关工勤事业编制1人，2021年底机关在编在岗人数8名。</w:t>
      </w:r>
    </w:p>
    <w:p>
      <w:pPr>
        <w:pageBreakBefore w:val="0"/>
        <w:kinsoku/>
        <w:wordWrap/>
        <w:overflowPunct/>
        <w:topLinePunct w:val="0"/>
        <w:bidi w:val="0"/>
        <w:spacing w:line="576" w:lineRule="exact"/>
        <w:ind w:firstLine="640" w:firstLineChars="200"/>
        <w:rPr>
          <w:rFonts w:hint="default" w:ascii="方正黑体_GBK" w:hAnsi="方正黑体_GBK" w:eastAsia="方正黑体_GBK" w:cs="方正黑体_GBK"/>
          <w:kern w:val="0"/>
          <w:sz w:val="32"/>
          <w:szCs w:val="32"/>
        </w:rPr>
      </w:pPr>
      <w:r>
        <w:rPr>
          <w:rFonts w:hint="default" w:ascii="方正黑体_GBK" w:hAnsi="方正黑体_GBK" w:eastAsia="方正黑体_GBK" w:cs="方正黑体_GBK"/>
          <w:kern w:val="0"/>
          <w:sz w:val="32"/>
          <w:szCs w:val="32"/>
        </w:rPr>
        <w:t>二、部门财政资金收支情况</w:t>
      </w:r>
    </w:p>
    <w:p>
      <w:pPr>
        <w:pageBreakBefore w:val="0"/>
        <w:kinsoku/>
        <w:wordWrap/>
        <w:overflowPunct/>
        <w:topLinePunct w:val="0"/>
        <w:bidi w:val="0"/>
        <w:spacing w:line="576" w:lineRule="exact"/>
        <w:rPr>
          <w:rFonts w:hint="default" w:ascii="方正楷体_GBK" w:hAnsi="方正楷体_GBK" w:eastAsia="方正楷体_GBK" w:cs="方正楷体_GBK"/>
          <w:kern w:val="0"/>
          <w:sz w:val="32"/>
          <w:szCs w:val="32"/>
          <w:lang w:val="zh-CN"/>
        </w:rPr>
      </w:pPr>
      <w:r>
        <w:rPr>
          <w:rFonts w:hint="default" w:ascii="Times New Roman" w:hAnsi="Times New Roman" w:eastAsia="仿宋_GB2312" w:cs="Times New Roman"/>
          <w:kern w:val="0"/>
          <w:sz w:val="32"/>
          <w:szCs w:val="32"/>
        </w:rPr>
        <w:t xml:space="preserve">   </w:t>
      </w:r>
      <w:r>
        <w:rPr>
          <w:rFonts w:hint="default" w:ascii="方正楷体_GBK" w:hAnsi="方正楷体_GBK" w:eastAsia="方正楷体_GBK" w:cs="方正楷体_GBK"/>
          <w:kern w:val="0"/>
          <w:sz w:val="32"/>
          <w:szCs w:val="32"/>
          <w:lang w:val="zh-CN"/>
        </w:rPr>
        <w:t xml:space="preserve"> （一）部门财政资金收入情况</w:t>
      </w:r>
    </w:p>
    <w:p>
      <w:pPr>
        <w:pageBreakBefore w:val="0"/>
        <w:kinsoku/>
        <w:wordWrap/>
        <w:overflowPunct/>
        <w:topLinePunct w:val="0"/>
        <w:bidi w:val="0"/>
        <w:spacing w:line="576" w:lineRule="exact"/>
        <w:ind w:firstLine="627" w:firstLineChars="196"/>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2021年财政收入205.5万元, 2020年结转4.14万元，比2020年增加了2.83万元。增加原因为2021年人员经费经费增加。资金到位率100%。</w:t>
      </w:r>
    </w:p>
    <w:p>
      <w:pPr>
        <w:pageBreakBefore w:val="0"/>
        <w:kinsoku/>
        <w:wordWrap/>
        <w:overflowPunct/>
        <w:topLinePunct w:val="0"/>
        <w:bidi w:val="0"/>
        <w:spacing w:line="576" w:lineRule="exact"/>
        <w:ind w:firstLine="640" w:firstLineChars="200"/>
        <w:rPr>
          <w:rFonts w:hint="default" w:ascii="方正楷体_GBK" w:hAnsi="方正楷体_GBK" w:eastAsia="方正楷体_GBK" w:cs="方正楷体_GBK"/>
          <w:kern w:val="0"/>
          <w:sz w:val="32"/>
          <w:szCs w:val="32"/>
          <w:lang w:val="zh-CN"/>
        </w:rPr>
      </w:pPr>
      <w:r>
        <w:rPr>
          <w:rFonts w:hint="default" w:ascii="方正楷体_GBK" w:hAnsi="方正楷体_GBK" w:eastAsia="方正楷体_GBK" w:cs="方正楷体_GBK"/>
          <w:kern w:val="0"/>
          <w:sz w:val="32"/>
          <w:szCs w:val="32"/>
          <w:lang w:val="zh-CN"/>
        </w:rPr>
        <w:t>（二）部门财政资金支出情况</w:t>
      </w:r>
    </w:p>
    <w:p>
      <w:pPr>
        <w:pageBreakBefore w:val="0"/>
        <w:kinsoku/>
        <w:wordWrap/>
        <w:overflowPunct/>
        <w:topLinePunct w:val="0"/>
        <w:bidi w:val="0"/>
        <w:spacing w:line="576" w:lineRule="exact"/>
        <w:ind w:firstLine="627" w:firstLineChars="196"/>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2021年市侨联支出共计209.64万元。其中:基本支出达158.8元，占总支出的75.75%；项目支出为50.84万元，占总支出的24.25%。</w:t>
      </w:r>
    </w:p>
    <w:p>
      <w:pPr>
        <w:pageBreakBefore w:val="0"/>
        <w:kinsoku/>
        <w:wordWrap/>
        <w:overflowPunct/>
        <w:topLinePunct w:val="0"/>
        <w:bidi w:val="0"/>
        <w:spacing w:line="576" w:lineRule="exact"/>
        <w:ind w:firstLine="627" w:firstLineChars="196"/>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基本支出中：人员支出135.5元,占85.33%，日常公用经费占23.3万元, 占14.67%。</w:t>
      </w:r>
    </w:p>
    <w:p>
      <w:pPr>
        <w:pageBreakBefore w:val="0"/>
        <w:kinsoku/>
        <w:wordWrap/>
        <w:overflowPunct/>
        <w:topLinePunct w:val="0"/>
        <w:bidi w:val="0"/>
        <w:spacing w:line="576"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项目支出中：商品和服务支出50.84万元, 占100%。</w:t>
      </w:r>
    </w:p>
    <w:p>
      <w:pPr>
        <w:pageBreakBefore w:val="0"/>
        <w:kinsoku/>
        <w:wordWrap/>
        <w:overflowPunct/>
        <w:topLinePunct w:val="0"/>
        <w:bidi w:val="0"/>
        <w:spacing w:line="576" w:lineRule="exac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2021年末结转结余26.8元,项目支出结转26.8元。</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default" w:ascii="Times New Roman" w:hAnsi="Times New Roman" w:eastAsia="仿宋_GB2312" w:cs="Times New Roman"/>
          <w:kern w:val="0"/>
          <w:sz w:val="32"/>
          <w:szCs w:val="32"/>
        </w:rPr>
      </w:pPr>
      <w:r>
        <w:rPr>
          <w:rFonts w:hint="default" w:ascii="方正黑体_GBK" w:hAnsi="方正黑体_GBK" w:eastAsia="方正黑体_GBK" w:cs="方正黑体_GBK"/>
          <w:kern w:val="0"/>
          <w:sz w:val="32"/>
          <w:szCs w:val="32"/>
        </w:rPr>
        <w:t>三、部门整体预算绩效管理情况</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涉及到有专项预算的部门，专项预算项目自评报告作为附件报送；</w:t>
      </w:r>
      <w:r>
        <w:rPr>
          <w:rFonts w:hint="default" w:ascii="Times New Roman" w:hAnsi="Times New Roman" w:eastAsia="仿宋_GB2312" w:cs="Times New Roman"/>
          <w:kern w:val="0"/>
          <w:sz w:val="32"/>
          <w:szCs w:val="32"/>
          <w:lang w:val="en-US" w:eastAsia="zh-CN"/>
        </w:rPr>
        <w:t>特定目标类部门预算项目绩效目标自评表作为附表报送</w:t>
      </w:r>
      <w:r>
        <w:rPr>
          <w:rFonts w:hint="default" w:ascii="Times New Roman" w:hAnsi="Times New Roman" w:eastAsia="仿宋_GB2312" w:cs="Times New Roman"/>
          <w:kern w:val="0"/>
          <w:sz w:val="32"/>
          <w:szCs w:val="32"/>
        </w:rPr>
        <w:t>）</w:t>
      </w:r>
    </w:p>
    <w:p>
      <w:pPr>
        <w:pageBreakBefore w:val="0"/>
        <w:kinsoku/>
        <w:wordWrap/>
        <w:overflowPunct/>
        <w:topLinePunct w:val="0"/>
        <w:bidi w:val="0"/>
        <w:spacing w:line="576" w:lineRule="exact"/>
        <w:ind w:firstLine="640" w:firstLineChars="200"/>
        <w:rPr>
          <w:rFonts w:hint="default" w:ascii="方正楷体_GBK" w:hAnsi="方正楷体_GBK" w:eastAsia="方正楷体_GBK" w:cs="方正楷体_GBK"/>
          <w:kern w:val="0"/>
          <w:sz w:val="32"/>
          <w:szCs w:val="32"/>
          <w:lang w:val="zh-CN"/>
        </w:rPr>
      </w:pPr>
      <w:r>
        <w:rPr>
          <w:rFonts w:hint="default" w:ascii="方正楷体_GBK" w:hAnsi="方正楷体_GBK" w:eastAsia="方正楷体_GBK" w:cs="方正楷体_GBK"/>
          <w:kern w:val="0"/>
          <w:sz w:val="32"/>
          <w:szCs w:val="32"/>
          <w:lang w:val="zh-CN"/>
        </w:rPr>
        <w:t>（一）部门预算项目绩效管理。</w:t>
      </w:r>
    </w:p>
    <w:p>
      <w:pPr>
        <w:pageBreakBefore w:val="0"/>
        <w:kinsoku/>
        <w:wordWrap/>
        <w:overflowPunct/>
        <w:topLinePunct w:val="0"/>
        <w:bidi w:val="0"/>
        <w:spacing w:line="576"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我会修订完善了《巴中市归国联合会内部控制制度》，包括“三重一大”制度、约谈工作制度、采购管理办法、差旅费管理办法、合同管理办法、资产管理实施办法、公务接待管理办法、商务接待管理办法、会议费管理办法、对外联谊合作经费管理办法、预算业务管理办法、收支业务管理办法、会计工作职责、出纳工作职责、公务卡管理办法等。</w:t>
      </w:r>
    </w:p>
    <w:p>
      <w:pPr>
        <w:pageBreakBefore w:val="0"/>
        <w:kinsoku/>
        <w:wordWrap/>
        <w:overflowPunct/>
        <w:topLinePunct w:val="0"/>
        <w:bidi w:val="0"/>
        <w:spacing w:line="576" w:lineRule="exact"/>
        <w:ind w:firstLine="640" w:firstLineChars="200"/>
        <w:rPr>
          <w:rFonts w:hint="default" w:ascii="方正楷体_GBK" w:hAnsi="方正楷体_GBK" w:eastAsia="方正楷体_GBK" w:cs="方正楷体_GBK"/>
          <w:kern w:val="0"/>
          <w:sz w:val="32"/>
          <w:szCs w:val="32"/>
          <w:lang w:val="zh-CN"/>
        </w:rPr>
      </w:pPr>
      <w:r>
        <w:rPr>
          <w:rFonts w:hint="eastAsia" w:ascii="方正楷体_GBK" w:hAnsi="方正楷体_GBK" w:eastAsia="方正楷体_GBK" w:cs="方正楷体_GBK"/>
          <w:kern w:val="0"/>
          <w:sz w:val="32"/>
          <w:szCs w:val="32"/>
          <w:lang w:val="en" w:eastAsia="zh-CN"/>
        </w:rPr>
        <w:t>（二）</w:t>
      </w:r>
      <w:r>
        <w:rPr>
          <w:rFonts w:hint="default" w:ascii="方正楷体_GBK" w:hAnsi="方正楷体_GBK" w:eastAsia="方正楷体_GBK" w:cs="方正楷体_GBK"/>
          <w:kern w:val="0"/>
          <w:sz w:val="32"/>
          <w:szCs w:val="32"/>
          <w:lang w:val="zh-CN"/>
        </w:rPr>
        <w:t>结果应用情况。</w:t>
      </w:r>
    </w:p>
    <w:p>
      <w:pPr>
        <w:pageBreakBefore w:val="0"/>
        <w:numPr>
          <w:ilvl w:val="0"/>
          <w:numId w:val="0"/>
        </w:numPr>
        <w:kinsoku/>
        <w:wordWrap/>
        <w:overflowPunct/>
        <w:topLinePunct w:val="0"/>
        <w:bidi w:val="0"/>
        <w:spacing w:line="576"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1.重点项目绩效评价。2021年对外联谊合作经费顺利通过了市财政局组织的重点项目绩效评估，项目管理规范、资金支出合规，实施成效良好。</w:t>
      </w:r>
    </w:p>
    <w:p>
      <w:pPr>
        <w:pageBreakBefore w:val="0"/>
        <w:kinsoku/>
        <w:wordWrap/>
        <w:overflowPunct/>
        <w:topLinePunct w:val="0"/>
        <w:bidi w:val="0"/>
        <w:spacing w:line="576" w:lineRule="exact"/>
        <w:ind w:firstLine="480" w:firstLineChars="15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部门职能完成情况。2021年，巴中市侨联在市委的坚强领导下，克服新冠肺炎疫情带来的不利影响，统筹兼顾，奋力拼搏，团结和引领全市侨界战疫情、助发展、惠民生、护侨益，整体工作走在全省前列，赢得社会各界一致好评。</w:t>
      </w:r>
    </w:p>
    <w:p>
      <w:pPr>
        <w:pageBreakBefore w:val="0"/>
        <w:kinsoku/>
        <w:wordWrap/>
        <w:overflowPunct/>
        <w:topLinePunct w:val="0"/>
        <w:bidi w:val="0"/>
        <w:spacing w:line="576" w:lineRule="exact"/>
        <w:ind w:firstLine="480" w:firstLineChars="15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rPr>
        <w:t>1</w:t>
      </w:r>
      <w:r>
        <w:rPr>
          <w:rFonts w:hint="default" w:ascii="Times New Roman" w:hAnsi="Times New Roman" w:eastAsia="仿宋_GB2312" w:cs="Times New Roman"/>
          <w:kern w:val="0"/>
          <w:sz w:val="32"/>
          <w:szCs w:val="32"/>
        </w:rPr>
        <w:t>）强化党史学习教育，提升政治站位。一是按照市委统一安排部署，先后召开了党员领导干部民主生活会、党风廉政建设专题会、民主评议党员暨组织生活会等，教育引导党员干部增强“四个意识”、坚定“四个自信”、做到“两个维护”。二是通过党组会、中心组学习会、干部职工会等，扎实开展党史学习教育。组织开展了为期一个月的“庆建党百年华诞•经典诵读感党恩”活动，推动党员干部学史爱党，学史爱国。三是以常态化开展不忘初心、牢记使命主题教育为抓手，组织机关党支部、市侨商会党支部、四川天府银行巴中分行党支部60余名党员到空山战役遗址、王坪烈士陵园开展“主</w:t>
      </w:r>
      <w:r>
        <w:rPr>
          <w:rFonts w:hint="default" w:ascii="Times New Roman" w:hAnsi="Times New Roman" w:eastAsia="仿宋_GB2312" w:cs="Times New Roman"/>
          <w:kern w:val="0"/>
          <w:sz w:val="32"/>
          <w:szCs w:val="32"/>
        </w:rPr>
        <w:t>题</w:t>
      </w:r>
      <w:r>
        <w:rPr>
          <w:rFonts w:hint="default" w:ascii="Times New Roman" w:hAnsi="Times New Roman" w:eastAsia="仿宋_GB2312" w:cs="Times New Roman"/>
          <w:kern w:val="0"/>
          <w:sz w:val="32"/>
          <w:szCs w:val="32"/>
        </w:rPr>
        <w:t>党日”活动，学党史、悟思想、办实事、开新局。四是召开了市侨联三届六次全委会，学习贯彻中央和省委、市委重大决策部署，引领全市侨界感党恩、听党话、跟党走，同圆共享中国梦。五是组织了全市侨界60余名干部群众开展了“侨心永向党•奋斗新征程”庆祝建党100周年系列活动，看变化、谈感受、凝侨力、助发展，拍摄了“颂歌献给党”MTV两首参加全省侨联系统评选，荣获二等奖。</w:t>
      </w:r>
    </w:p>
    <w:p>
      <w:pPr>
        <w:pageBreakBefore w:val="0"/>
        <w:kinsoku/>
        <w:wordWrap/>
        <w:overflowPunct/>
        <w:topLinePunct w:val="0"/>
        <w:bidi w:val="0"/>
        <w:spacing w:line="576" w:lineRule="exac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r>
        <w:rPr>
          <w:rFonts w:hint="default" w:ascii="Times New Roman" w:hAnsi="Times New Roman" w:eastAsia="仿宋_GB2312" w:cs="Times New Roman"/>
          <w:kern w:val="0"/>
          <w:sz w:val="32"/>
          <w:szCs w:val="32"/>
        </w:rPr>
        <w:t>2</w:t>
      </w:r>
      <w:r>
        <w:rPr>
          <w:rFonts w:hint="default" w:ascii="Times New Roman" w:hAnsi="Times New Roman" w:eastAsia="仿宋_GB2312" w:cs="Times New Roman"/>
          <w:kern w:val="0"/>
          <w:sz w:val="32"/>
          <w:szCs w:val="32"/>
        </w:rPr>
        <w:t>）发挥侨联独特优势，助推开放合作。一是认真落实市委讲好巴中故事，争取政策支持要求部署，积极争取全国政协委员、中国侨联副主席、省侨联党组书记、主席刘以勤在全国“两会”提交了《关于加大力度支持川陕革命老区核心区高质量发展的建议》的提案，2021年9月3日国家发改委</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rPr>
        <w:t>中组部、生态环境部、农业农村部、能源局书面答复了刘以勤委员，从六个方面给予巴中支持，这是刘以勤委员连续三年通过全国“两会”提交提案支持巴中发展。二是成功举办了“追梦中华•感知川渝”2021海外华文媒体四川采访行活动。来自新华社、光明日报、人民政协报社、美国华兴报、英国卫报、澳大利亚华夏传媒、香港中外新闻社、马来西亚海外传媒等10个国家和地区的11位海外华文媒体代表及4位中央媒体记者先后深入恩阳古镇、黄石国际旅游度假区项目工地、巴中规划馆、晏阳初博士史迹展览馆、川陕革命根据地红军烈士陵园等地实地采风，撰写新闻稿件100余篇发往世界各地，其中光明日报《青山有幸埋忠骨，一颗红星耀中华》、人民政协网《王坪：一个军礼为红军》等新闻稿在海内外华人圈引起巨大反响，提升了巴中的知名度和影响力。三是加强巴渝两地侨联协作，组织区县侨联及巴山天香花椒、秦巴茗兰科技、四川远鸿小角楼酒业等赴重庆市大渡口区侨联开展协作对接工作，积极融入成渝地区双城经济圈建设。四是整合市级部门和区县资源，编制招商引资项目，广泛宣传推介，通过以侨招商、以商招商等方式，引进台资企业恩得利电子来巴考察，目前正在跟踪对接，力争电子生产线项目落户巴中。五是积极推动巴中市侨商会常务副会长单位巴中市晏阳初文化传媒有限公司投资拍摄晏阳初博士专题电影《平教之路》举办了开机仪式，并完成电影拍摄工作，全力推动尽快上映。</w:t>
      </w:r>
    </w:p>
    <w:p>
      <w:pPr>
        <w:pageBreakBefore w:val="0"/>
        <w:kinsoku/>
        <w:wordWrap/>
        <w:overflowPunct/>
        <w:topLinePunct w:val="0"/>
        <w:bidi w:val="0"/>
        <w:spacing w:line="576" w:lineRule="exac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r>
        <w:rPr>
          <w:rFonts w:hint="default" w:ascii="Times New Roman" w:hAnsi="Times New Roman" w:eastAsia="仿宋_GB2312" w:cs="Times New Roman"/>
          <w:kern w:val="0"/>
          <w:sz w:val="32"/>
          <w:szCs w:val="32"/>
        </w:rPr>
        <w:t>3</w:t>
      </w:r>
      <w:r>
        <w:rPr>
          <w:rFonts w:hint="default" w:ascii="Times New Roman" w:hAnsi="Times New Roman" w:eastAsia="仿宋_GB2312" w:cs="Times New Roman"/>
          <w:kern w:val="0"/>
          <w:sz w:val="32"/>
          <w:szCs w:val="32"/>
        </w:rPr>
        <w:t>）始终坚持以侨为本，倾情维护侨益。一是坚持专班推进、精准帮扶的原则，今年来，组织恩阳区和相关单位先后7次深入黄石国际旅游度假区建设工地，帮助解决了展示中心路口硬化、湿地公园规划、户型调整等问题，助推项目加快建设。二是扎实开展“我为群众办实事”活动，先后深入四川学仕兰图、四川唯鸿、四川川台缘、巴中棠湖、青田侨乡进口商品城等侨资企业调研指导，帮助企业解决生产经营、市场拓展、政策兑现等问题，助推高质量发展。三是积极组织市、县（区）侨界人大代表、政协委员视察调研，在今年“两会”上提交议案、提案30余件，高效参政议政，贡献了侨联智慧，展现了侨联风采，提升了侨联影响。四是整合资金50余万元实施“四个必访”，在元旦、春节期间开展了“访侨情•暖侨心”系列活动，走访慰问社会各界群众1000余人次，送去了党和政府的关心关怀。</w:t>
      </w:r>
    </w:p>
    <w:p>
      <w:pPr>
        <w:pageBreakBefore w:val="0"/>
        <w:kinsoku/>
        <w:wordWrap/>
        <w:overflowPunct/>
        <w:topLinePunct w:val="0"/>
        <w:bidi w:val="0"/>
        <w:spacing w:line="576" w:lineRule="exac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r>
        <w:rPr>
          <w:rFonts w:hint="default" w:ascii="Times New Roman" w:hAnsi="Times New Roman" w:eastAsia="仿宋_GB2312" w:cs="Times New Roman"/>
          <w:kern w:val="0"/>
          <w:sz w:val="32"/>
          <w:szCs w:val="32"/>
        </w:rPr>
        <w:t>4</w:t>
      </w:r>
      <w:r>
        <w:rPr>
          <w:rFonts w:hint="default" w:ascii="Times New Roman" w:hAnsi="Times New Roman" w:eastAsia="仿宋_GB2312" w:cs="Times New Roman"/>
          <w:kern w:val="0"/>
          <w:sz w:val="32"/>
          <w:szCs w:val="32"/>
        </w:rPr>
        <w:t>）整合侨界资源力量，参与社会治理。一是争取到香港明发集团向巴中市烈属关爱基金捐资50万元，帮助解决烈属生产发展实际困难，</w:t>
      </w:r>
      <w:r>
        <w:rPr>
          <w:rFonts w:hint="default" w:ascii="Times New Roman" w:hAnsi="Times New Roman" w:eastAsia="仿宋_GB2312" w:cs="Times New Roman"/>
          <w:kern w:val="0"/>
          <w:sz w:val="32"/>
          <w:szCs w:val="32"/>
        </w:rPr>
        <w:t>受到</w:t>
      </w:r>
      <w:r>
        <w:rPr>
          <w:rFonts w:hint="default" w:ascii="Times New Roman" w:hAnsi="Times New Roman" w:eastAsia="仿宋_GB2312" w:cs="Times New Roman"/>
          <w:kern w:val="0"/>
          <w:sz w:val="32"/>
          <w:szCs w:val="32"/>
        </w:rPr>
        <w:t>广大烈属高度认可。二是争取到浙江爱心教育基金会每年捐资37.5万元，在巴中中学连续举办了十二期“珍珠班”，帮助1000余名“家庭特困、成绩特优”的寒门学子考上理想大学，目前，第十三期“珍珠班”招生工作正在有序推进。三是争取到北京市侨联、北京市华侨事业基金会、致公党北京市委“京侨爱心助学基金”捐助50万元资助全市440名困难师生。四是认真落实侨联改革方案，在川东北率先建成第一个社区侨联—恩阳区渔溪镇和平场社区侨联，延伸了服务手臂。</w:t>
      </w:r>
      <w:r>
        <w:rPr>
          <w:rFonts w:hint="default" w:ascii="Times New Roman" w:hAnsi="Times New Roman" w:eastAsia="仿宋_GB2312" w:cs="Times New Roman"/>
          <w:kern w:val="0"/>
          <w:sz w:val="32"/>
          <w:szCs w:val="32"/>
        </w:rPr>
        <w:t>五</w:t>
      </w:r>
      <w:r>
        <w:rPr>
          <w:rFonts w:hint="default" w:ascii="Times New Roman" w:hAnsi="Times New Roman" w:eastAsia="仿宋_GB2312" w:cs="Times New Roman"/>
          <w:kern w:val="0"/>
          <w:sz w:val="32"/>
          <w:szCs w:val="32"/>
        </w:rPr>
        <w:t>是按照高质量建设、高标准管理、高成效运行要求，推动区县高标准建成“侨胞之家”5个，得到广大侨眷一致认可。</w:t>
      </w:r>
      <w:r>
        <w:rPr>
          <w:rFonts w:hint="default" w:ascii="Times New Roman" w:hAnsi="Times New Roman" w:eastAsia="仿宋_GB2312" w:cs="Times New Roman"/>
          <w:kern w:val="0"/>
          <w:sz w:val="32"/>
          <w:szCs w:val="32"/>
        </w:rPr>
        <w:t>六</w:t>
      </w:r>
      <w:r>
        <w:rPr>
          <w:rFonts w:hint="default" w:ascii="Times New Roman" w:hAnsi="Times New Roman" w:eastAsia="仿宋_GB2312" w:cs="Times New Roman"/>
          <w:kern w:val="0"/>
          <w:sz w:val="32"/>
          <w:szCs w:val="32"/>
        </w:rPr>
        <w:t>是成立专班，建立机制，支持经费，帮助恩阳区义阳社区抓实做好“创文”工作。</w:t>
      </w:r>
      <w:r>
        <w:rPr>
          <w:rFonts w:hint="default" w:ascii="Times New Roman" w:hAnsi="Times New Roman" w:eastAsia="仿宋_GB2312" w:cs="Times New Roman"/>
          <w:kern w:val="0"/>
          <w:sz w:val="32"/>
          <w:szCs w:val="32"/>
        </w:rPr>
        <w:t>七</w:t>
      </w:r>
      <w:r>
        <w:rPr>
          <w:rFonts w:hint="default" w:ascii="Times New Roman" w:hAnsi="Times New Roman" w:eastAsia="仿宋_GB2312" w:cs="Times New Roman"/>
          <w:kern w:val="0"/>
          <w:sz w:val="32"/>
          <w:szCs w:val="32"/>
        </w:rPr>
        <w:t>是按照“四不摘”要求，扎实开展“回头看”“回头帮”，接续脱贫成效，促进乡村振兴，市侨联挂包村被评为省级乡村振兴示范村。</w:t>
      </w:r>
    </w:p>
    <w:p>
      <w:pPr>
        <w:pageBreakBefore w:val="0"/>
        <w:kinsoku/>
        <w:wordWrap/>
        <w:overflowPunct/>
        <w:topLinePunct w:val="0"/>
        <w:bidi w:val="0"/>
        <w:spacing w:line="576" w:lineRule="exact"/>
        <w:rPr>
          <w:rFonts w:hint="default" w:ascii="Times New Roman" w:hAnsi="Times New Roman" w:eastAsia="仿宋_GB2312" w:cs="Times New Roman"/>
          <w:color w:val="auto"/>
          <w:kern w:val="0"/>
          <w:sz w:val="32"/>
          <w:szCs w:val="32"/>
          <w:highlight w:val="none"/>
          <w:shd w:val="clear" w:color="auto" w:fill="FFFFFF"/>
          <w:lang w:val="zh-CN"/>
        </w:rPr>
      </w:pPr>
      <w:r>
        <w:rPr>
          <w:rFonts w:hint="default" w:ascii="Times New Roman" w:hAnsi="Times New Roman" w:eastAsia="仿宋_GB2312" w:cs="Times New Roman"/>
          <w:kern w:val="0"/>
          <w:sz w:val="32"/>
          <w:szCs w:val="32"/>
        </w:rPr>
        <w:t>　　（</w:t>
      </w:r>
      <w:r>
        <w:rPr>
          <w:rFonts w:hint="default" w:ascii="Times New Roman" w:hAnsi="Times New Roman" w:eastAsia="仿宋_GB2312" w:cs="Times New Roman"/>
          <w:kern w:val="0"/>
          <w:sz w:val="32"/>
          <w:szCs w:val="32"/>
        </w:rPr>
        <w:t>5</w:t>
      </w:r>
      <w:r>
        <w:rPr>
          <w:rFonts w:hint="default" w:ascii="Times New Roman" w:hAnsi="Times New Roman" w:eastAsia="仿宋_GB2312" w:cs="Times New Roman"/>
          <w:kern w:val="0"/>
          <w:sz w:val="32"/>
          <w:szCs w:val="32"/>
        </w:rPr>
        <w:t>）坚持从严管党治侨，营造一流环境。一是认真学习贯彻市委“讲真话、做实事、去繁冗，有情怀、扬激情、反颓废”“十八字”要求，深入自检、认真践行，铸就严实作风。二是扛实扛牢党风廉政建设</w:t>
      </w:r>
      <w:r>
        <w:rPr>
          <w:rFonts w:hint="default" w:ascii="Times New Roman" w:hAnsi="Times New Roman" w:eastAsia="仿宋_GB2312" w:cs="Times New Roman"/>
          <w:kern w:val="0"/>
          <w:sz w:val="32"/>
          <w:szCs w:val="32"/>
          <w:lang w:val="ru-RU" w:eastAsia="ru-RU"/>
        </w:rPr>
        <w:t>“主体责任”、第一责任人责任和“一岗双责”责任，坚持制度管人管事，加强谈心谈话，强化“喊醒教育”，营造风清气正环境。三是抓实做好以侨情普查、为侨服务、开放合作为重点的全市侨联系统“七个一”工作</w:t>
      </w:r>
      <w:r>
        <w:rPr>
          <w:rFonts w:hint="default" w:ascii="Times New Roman" w:hAnsi="Times New Roman" w:eastAsia="仿宋_GB2312" w:cs="Times New Roman"/>
          <w:kern w:val="0"/>
          <w:sz w:val="32"/>
          <w:szCs w:val="32"/>
        </w:rPr>
        <w:t>，推动整体工作提质增效。四是认真落实基层减负要求，彻底整治形式主义、官僚主义，不断提升侨联党员干部服务大局、服务侨界的能力和水平。</w:t>
      </w:r>
    </w:p>
    <w:p>
      <w:pPr>
        <w:pageBreakBefore w:val="0"/>
        <w:kinsoku/>
        <w:wordWrap/>
        <w:overflowPunct/>
        <w:topLinePunct w:val="0"/>
        <w:bidi w:val="0"/>
        <w:spacing w:line="576" w:lineRule="exact"/>
        <w:ind w:firstLine="640" w:firstLineChars="200"/>
        <w:rPr>
          <w:rFonts w:hint="default" w:ascii="方正楷体_GBK" w:hAnsi="方正楷体_GBK" w:eastAsia="方正楷体_GBK" w:cs="方正楷体_GBK"/>
          <w:kern w:val="0"/>
          <w:sz w:val="32"/>
          <w:szCs w:val="32"/>
          <w:lang w:val="zh-CN"/>
        </w:rPr>
      </w:pPr>
      <w:r>
        <w:rPr>
          <w:rFonts w:hint="default" w:ascii="方正楷体_GBK" w:hAnsi="方正楷体_GBK" w:eastAsia="方正楷体_GBK" w:cs="方正楷体_GBK"/>
          <w:kern w:val="0"/>
          <w:sz w:val="32"/>
          <w:szCs w:val="32"/>
          <w:lang w:val="zh-CN"/>
        </w:rPr>
        <w:t>（三）自评质量</w:t>
      </w:r>
    </w:p>
    <w:p>
      <w:pPr>
        <w:pageBreakBefore w:val="0"/>
        <w:numPr>
          <w:ilvl w:val="0"/>
          <w:numId w:val="0"/>
        </w:numPr>
        <w:kinsoku/>
        <w:wordWrap/>
        <w:overflowPunct/>
        <w:topLinePunct w:val="0"/>
        <w:bidi w:val="0"/>
        <w:spacing w:line="576"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我会对8个项目常规和4个发展项目都编制了项目绩效目标，覆盖率100%。单位自评项目支出分别为：</w:t>
      </w:r>
    </w:p>
    <w:p>
      <w:pPr>
        <w:pageBreakBefore w:val="0"/>
        <w:kinsoku/>
        <w:wordWrap/>
        <w:overflowPunct/>
        <w:topLinePunct w:val="0"/>
        <w:bidi w:val="0"/>
        <w:spacing w:line="576" w:lineRule="exact"/>
        <w:ind w:firstLine="627" w:firstLineChars="196"/>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1.资料印刷费2021年预算为2.1万元，实际支出为2.1万元，该项目主要目的用于单位资料印刷；</w:t>
      </w:r>
    </w:p>
    <w:p>
      <w:pPr>
        <w:pageBreakBefore w:val="0"/>
        <w:kinsoku/>
        <w:wordWrap/>
        <w:overflowPunct/>
        <w:topLinePunct w:val="0"/>
        <w:bidi w:val="0"/>
        <w:spacing w:line="576" w:lineRule="exact"/>
        <w:ind w:firstLine="627" w:firstLineChars="196"/>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2.公务接待费2021年预算1万元，实际支出为1万元，该项目主要目的用于单位公务接待；</w:t>
      </w:r>
    </w:p>
    <w:p>
      <w:pPr>
        <w:pageBreakBefore w:val="0"/>
        <w:kinsoku/>
        <w:wordWrap/>
        <w:overflowPunct/>
        <w:topLinePunct w:val="0"/>
        <w:bidi w:val="0"/>
        <w:spacing w:line="576" w:lineRule="exact"/>
        <w:ind w:firstLine="627" w:firstLineChars="196"/>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3.网络运行维护费2021年预算为1万元，实际支出为1万元，该项目主要目的用于单位的网络运行费用；</w:t>
      </w:r>
    </w:p>
    <w:p>
      <w:pPr>
        <w:pageBreakBefore w:val="0"/>
        <w:kinsoku/>
        <w:wordWrap/>
        <w:overflowPunct/>
        <w:topLinePunct w:val="0"/>
        <w:bidi w:val="0"/>
        <w:spacing w:line="576" w:lineRule="exact"/>
        <w:ind w:firstLine="627" w:firstLineChars="196"/>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4.对外联谊合作经费2021年预算19万元，当年实际支出为24.72万元（含有结转资金），该项目主要目的与侨务资源发达地区侨联组织、知名侨领、侨商建立友好关系，加强交流合作。</w:t>
      </w:r>
    </w:p>
    <w:p>
      <w:pPr>
        <w:pageBreakBefore w:val="0"/>
        <w:kinsoku/>
        <w:wordWrap/>
        <w:overflowPunct/>
        <w:topLinePunct w:val="0"/>
        <w:bidi w:val="0"/>
        <w:spacing w:line="576" w:lineRule="exact"/>
        <w:ind w:firstLine="627" w:firstLineChars="196"/>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5.侨界维权工作经费2021年预算为4万元，当年实际支出为3.95万元，该项目主要目的做好侨界维权工作，是维护归侨侨眷合法权益的需要，是落实党的侨务工作方针政策的具体体现。</w:t>
      </w:r>
    </w:p>
    <w:p>
      <w:pPr>
        <w:pageBreakBefore w:val="0"/>
        <w:kinsoku/>
        <w:wordWrap/>
        <w:overflowPunct/>
        <w:topLinePunct w:val="0"/>
        <w:bidi w:val="0"/>
        <w:spacing w:line="576" w:lineRule="exact"/>
        <w:ind w:firstLine="627" w:firstLineChars="196"/>
        <w:rPr>
          <w:rFonts w:hint="default" w:ascii="Times New Roman" w:hAnsi="Times New Roman" w:eastAsia="仿宋_GB2312" w:cs="Times New Roman"/>
          <w:color w:val="auto"/>
          <w:kern w:val="0"/>
          <w:sz w:val="32"/>
          <w:szCs w:val="32"/>
          <w:highlight w:val="none"/>
          <w:u w:val="none"/>
          <w:shd w:val="clear" w:color="auto" w:fill="FFFFFF"/>
          <w:lang w:val="zh-CN"/>
        </w:rPr>
      </w:pPr>
      <w:r>
        <w:rPr>
          <w:rFonts w:hint="default" w:ascii="Times New Roman" w:hAnsi="Times New Roman" w:eastAsia="仿宋_GB2312" w:cs="Times New Roman"/>
          <w:kern w:val="0"/>
          <w:sz w:val="32"/>
          <w:szCs w:val="32"/>
        </w:rPr>
        <w:t>每一项目，都结合实际情况，制定了产出指标、效益指标和满意度指标，并对指标进行了细化分解，定性、定量明确具体指标内空及指标值，方便绩效管理，提高了项目作交流服务。</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default" w:ascii="Times New Roman" w:hAnsi="Times New Roman" w:eastAsia="黑体" w:cs="Times New Roman"/>
          <w:color w:val="auto"/>
          <w:kern w:val="0"/>
          <w:sz w:val="32"/>
          <w:szCs w:val="32"/>
          <w:highlight w:val="none"/>
          <w:shd w:val="clear" w:color="auto" w:fill="FFFFFF"/>
        </w:rPr>
      </w:pPr>
      <w:r>
        <w:rPr>
          <w:rFonts w:hint="default" w:ascii="Times New Roman" w:hAnsi="Times New Roman" w:eastAsia="黑体" w:cs="Times New Roman"/>
          <w:color w:val="auto"/>
          <w:kern w:val="0"/>
          <w:sz w:val="32"/>
          <w:szCs w:val="32"/>
          <w:highlight w:val="none"/>
          <w:shd w:val="clear" w:color="auto" w:fill="FFFFFF"/>
        </w:rPr>
        <w:t>四、评价结论及建议</w:t>
      </w:r>
    </w:p>
    <w:p>
      <w:pPr>
        <w:pageBreakBefore w:val="0"/>
        <w:kinsoku/>
        <w:wordWrap/>
        <w:overflowPunct/>
        <w:topLinePunct w:val="0"/>
        <w:bidi w:val="0"/>
        <w:spacing w:line="576" w:lineRule="exact"/>
        <w:ind w:firstLine="640" w:firstLineChars="200"/>
        <w:rPr>
          <w:rFonts w:hint="default" w:ascii="方正楷体_GBK" w:hAnsi="方正楷体_GBK" w:eastAsia="方正楷体_GBK" w:cs="方正楷体_GBK"/>
          <w:kern w:val="0"/>
          <w:sz w:val="32"/>
          <w:szCs w:val="32"/>
          <w:lang w:val="zh-CN"/>
        </w:rPr>
      </w:pPr>
      <w:r>
        <w:rPr>
          <w:rFonts w:hint="default" w:ascii="方正楷体_GBK" w:hAnsi="方正楷体_GBK" w:eastAsia="方正楷体_GBK" w:cs="方正楷体_GBK"/>
          <w:kern w:val="0"/>
          <w:sz w:val="32"/>
          <w:szCs w:val="32"/>
          <w:lang w:val="zh-CN"/>
        </w:rPr>
        <w:t>（一）评价结论。</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default" w:ascii="Times New Roman" w:hAnsi="Times New Roman" w:eastAsia="仿宋_GB2312" w:cs="Times New Roman"/>
          <w:color w:val="auto"/>
          <w:kern w:val="0"/>
          <w:sz w:val="32"/>
          <w:szCs w:val="32"/>
          <w:highlight w:val="none"/>
          <w:shd w:val="clear" w:color="auto" w:fill="FFFFFF"/>
          <w:lang w:val="zh-CN"/>
        </w:rPr>
      </w:pPr>
      <w:r>
        <w:rPr>
          <w:rFonts w:hint="default" w:ascii="Times New Roman" w:hAnsi="Times New Roman" w:eastAsia="仿宋_GB2312" w:cs="Times New Roman"/>
          <w:kern w:val="0"/>
          <w:sz w:val="32"/>
          <w:szCs w:val="32"/>
        </w:rPr>
        <w:t>20</w:t>
      </w:r>
      <w:r>
        <w:rPr>
          <w:rFonts w:hint="default" w:ascii="Times New Roman" w:hAnsi="Times New Roman" w:eastAsia="仿宋_GB2312" w:cs="Times New Roman"/>
          <w:kern w:val="0"/>
          <w:sz w:val="32"/>
          <w:szCs w:val="32"/>
        </w:rPr>
        <w:t>21</w:t>
      </w:r>
      <w:r>
        <w:rPr>
          <w:rFonts w:hint="default" w:ascii="Times New Roman" w:hAnsi="Times New Roman" w:eastAsia="仿宋_GB2312" w:cs="Times New Roman"/>
          <w:kern w:val="0"/>
          <w:sz w:val="32"/>
          <w:szCs w:val="32"/>
        </w:rPr>
        <w:t>年，我会财务管理规范，预算编制科学、绩效目标设置合理，财政资金支出符合规定，取得了预期效果。</w:t>
      </w:r>
    </w:p>
    <w:p>
      <w:pPr>
        <w:pageBreakBefore w:val="0"/>
        <w:numPr>
          <w:ilvl w:val="0"/>
          <w:numId w:val="4"/>
        </w:numPr>
        <w:kinsoku/>
        <w:wordWrap/>
        <w:overflowPunct/>
        <w:topLinePunct w:val="0"/>
        <w:bidi w:val="0"/>
        <w:spacing w:line="576" w:lineRule="exact"/>
        <w:ind w:left="0" w:leftChars="0" w:firstLine="640" w:firstLineChars="200"/>
        <w:rPr>
          <w:rFonts w:hint="default" w:ascii="Times New Roman" w:hAnsi="Times New Roman" w:eastAsia="仿宋_GB2312" w:cs="Times New Roman"/>
          <w:kern w:val="0"/>
          <w:sz w:val="32"/>
          <w:szCs w:val="32"/>
        </w:rPr>
      </w:pPr>
      <w:r>
        <w:rPr>
          <w:rFonts w:hint="default" w:ascii="方正楷体_GBK" w:hAnsi="方正楷体_GBK" w:eastAsia="方正楷体_GBK" w:cs="方正楷体_GBK"/>
          <w:kern w:val="0"/>
          <w:sz w:val="32"/>
          <w:szCs w:val="32"/>
          <w:lang w:val="zh-CN"/>
        </w:rPr>
        <w:t>存在问题</w:t>
      </w:r>
      <w:r>
        <w:rPr>
          <w:rFonts w:hint="default" w:ascii="Times New Roman" w:hAnsi="Times New Roman" w:eastAsia="仿宋_GB2312" w:cs="Times New Roman"/>
          <w:color w:val="auto"/>
          <w:kern w:val="0"/>
          <w:sz w:val="32"/>
          <w:szCs w:val="32"/>
          <w:highlight w:val="none"/>
          <w:shd w:val="clear" w:color="auto" w:fill="FFFFFF"/>
          <w:lang w:val="zh-CN"/>
        </w:rPr>
        <w:t>。</w:t>
      </w:r>
    </w:p>
    <w:p>
      <w:pPr>
        <w:pageBreakBefore w:val="0"/>
        <w:numPr>
          <w:ilvl w:val="0"/>
          <w:numId w:val="0"/>
        </w:numPr>
        <w:kinsoku/>
        <w:wordWrap/>
        <w:overflowPunct/>
        <w:topLinePunct w:val="0"/>
        <w:bidi w:val="0"/>
        <w:spacing w:line="576"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zh-CN"/>
        </w:rPr>
        <w:t>1.</w:t>
      </w:r>
      <w:r>
        <w:rPr>
          <w:rFonts w:hint="default" w:ascii="Times New Roman" w:hAnsi="Times New Roman" w:eastAsia="仿宋_GB2312" w:cs="Times New Roman"/>
          <w:kern w:val="0"/>
          <w:sz w:val="32"/>
          <w:szCs w:val="32"/>
        </w:rPr>
        <w:t>由于市侨联人员和经费不足，全市侨情普查开展次数较少，对全市侨情家底掌握不够全面。</w:t>
      </w:r>
    </w:p>
    <w:p>
      <w:pPr>
        <w:pageBreakBefore w:val="0"/>
        <w:kinsoku/>
        <w:wordWrap/>
        <w:overflowPunct/>
        <w:topLinePunct w:val="0"/>
        <w:bidi w:val="0"/>
        <w:spacing w:line="576" w:lineRule="exact"/>
        <w:ind w:firstLine="640" w:firstLineChars="200"/>
        <w:rPr>
          <w:rFonts w:hint="default" w:ascii="Times New Roman" w:hAnsi="Times New Roman" w:eastAsia="仿宋_GB2312" w:cs="Times New Roman"/>
          <w:color w:val="auto"/>
          <w:kern w:val="0"/>
          <w:sz w:val="32"/>
          <w:szCs w:val="32"/>
          <w:highlight w:val="none"/>
          <w:shd w:val="clear" w:color="auto" w:fill="FFFFFF"/>
          <w:lang w:val="zh-CN"/>
        </w:rPr>
      </w:pPr>
      <w:r>
        <w:rPr>
          <w:rFonts w:hint="default" w:ascii="Times New Roman" w:hAnsi="Times New Roman" w:eastAsia="仿宋_GB2312" w:cs="Times New Roman"/>
          <w:kern w:val="0"/>
          <w:sz w:val="32"/>
          <w:szCs w:val="32"/>
          <w:lang w:val="zh-CN"/>
        </w:rPr>
        <w:t>2.由于我会外出招商活动多，花费的差旅费等较多，所给经费不足，不利于工作的开展，使用范围狭窄，不便于资金的整合和项目的调整。</w:t>
      </w:r>
    </w:p>
    <w:p>
      <w:pPr>
        <w:pageBreakBefore w:val="0"/>
        <w:kinsoku/>
        <w:wordWrap/>
        <w:overflowPunct/>
        <w:topLinePunct w:val="0"/>
        <w:bidi w:val="0"/>
        <w:spacing w:line="576" w:lineRule="exact"/>
        <w:ind w:firstLine="640" w:firstLineChars="200"/>
        <w:rPr>
          <w:rFonts w:hint="default" w:ascii="Times New Roman" w:hAnsi="Times New Roman" w:eastAsia="仿宋_GB2312" w:cs="Times New Roman"/>
          <w:color w:val="auto"/>
          <w:kern w:val="0"/>
          <w:sz w:val="32"/>
          <w:szCs w:val="32"/>
          <w:highlight w:val="none"/>
          <w:shd w:val="clear" w:color="auto" w:fill="FFFFFF"/>
          <w:lang w:val="zh-CN"/>
        </w:rPr>
      </w:pPr>
      <w:r>
        <w:rPr>
          <w:rFonts w:hint="default" w:ascii="方正楷体_GBK" w:hAnsi="方正楷体_GBK" w:eastAsia="方正楷体_GBK" w:cs="方正楷体_GBK"/>
          <w:kern w:val="0"/>
          <w:sz w:val="32"/>
          <w:szCs w:val="32"/>
          <w:lang w:val="zh-CN"/>
        </w:rPr>
        <w:t>（三）改进建议</w:t>
      </w:r>
      <w:r>
        <w:rPr>
          <w:rFonts w:hint="default" w:ascii="Times New Roman" w:hAnsi="Times New Roman" w:eastAsia="仿宋_GB2312" w:cs="Times New Roman"/>
          <w:color w:val="auto"/>
          <w:kern w:val="0"/>
          <w:sz w:val="32"/>
          <w:szCs w:val="32"/>
          <w:highlight w:val="none"/>
          <w:shd w:val="clear" w:color="auto" w:fill="FFFFFF"/>
          <w:lang w:val="zh-CN"/>
        </w:rPr>
        <w:t>。</w:t>
      </w:r>
    </w:p>
    <w:p>
      <w:pPr>
        <w:pageBreakBefore w:val="0"/>
        <w:kinsoku/>
        <w:wordWrap/>
        <w:overflowPunct/>
        <w:topLinePunct w:val="0"/>
        <w:bidi w:val="0"/>
        <w:spacing w:line="576"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rPr>
        <w:t>建议</w:t>
      </w:r>
      <w:r>
        <w:rPr>
          <w:rFonts w:hint="default" w:ascii="Times New Roman" w:hAnsi="Times New Roman" w:eastAsia="仿宋_GB2312" w:cs="Times New Roman"/>
          <w:kern w:val="0"/>
          <w:sz w:val="32"/>
          <w:szCs w:val="32"/>
        </w:rPr>
        <w:t>将市侨联侨情普查工作经费项目纳入年度预算，争取每年度在全市开展一次全面普查活动，做到家底清、情况明，更好的联系团结广大海外华人华侨、归侨侨眷，更好的服务于巴中经济社会发展。</w:t>
      </w:r>
    </w:p>
    <w:p>
      <w:pPr>
        <w:pageBreakBefore w:val="0"/>
        <w:kinsoku/>
        <w:wordWrap/>
        <w:overflowPunct/>
        <w:topLinePunct w:val="0"/>
        <w:bidi w:val="0"/>
        <w:spacing w:line="576"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w:t>
      </w:r>
      <w:r>
        <w:rPr>
          <w:rFonts w:hint="default" w:ascii="Times New Roman" w:hAnsi="Times New Roman" w:eastAsia="仿宋_GB2312" w:cs="Times New Roman"/>
          <w:kern w:val="0"/>
          <w:sz w:val="32"/>
          <w:szCs w:val="32"/>
        </w:rPr>
        <w:t>.建议将市侨联的“困难侨眷帮扶经费”和“侨界维权工作经费”两个项目在合并为“侨界维权帮扶工作经费”一个项目，便于经费整合，为更好的服务侨界奠定资金保障。</w:t>
      </w:r>
    </w:p>
    <w:p>
      <w:pPr>
        <w:pageBreakBefore w:val="0"/>
        <w:kinsoku/>
        <w:wordWrap/>
        <w:overflowPunct/>
        <w:topLinePunct w:val="0"/>
        <w:bidi w:val="0"/>
        <w:spacing w:line="576"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w:t>
      </w:r>
      <w:r>
        <w:rPr>
          <w:rFonts w:hint="default" w:ascii="Times New Roman" w:hAnsi="Times New Roman" w:eastAsia="仿宋_GB2312" w:cs="Times New Roman"/>
          <w:kern w:val="0"/>
          <w:sz w:val="32"/>
          <w:szCs w:val="32"/>
        </w:rPr>
        <w:t>新会计准则的实施，对会计的要求也相应提高，工作量加大，建议加强会计业务培训，提升会计人员业务水平，提高工作质效。</w:t>
      </w:r>
    </w:p>
    <w:p>
      <w:pPr>
        <w:pageBreakBefore w:val="0"/>
        <w:kinsoku/>
        <w:wordWrap/>
        <w:overflowPunct/>
        <w:topLinePunct w:val="0"/>
        <w:bidi w:val="0"/>
        <w:spacing w:line="576" w:lineRule="exact"/>
        <w:rPr>
          <w:rFonts w:hint="default" w:ascii="Times New Roman" w:hAnsi="Times New Roman" w:eastAsia="仿宋_GB2312" w:cs="Times New Roman"/>
          <w:kern w:val="0"/>
          <w:sz w:val="32"/>
          <w:szCs w:val="32"/>
        </w:rPr>
      </w:pPr>
    </w:p>
    <w:p>
      <w:pPr>
        <w:pageBreakBefore w:val="0"/>
        <w:kinsoku/>
        <w:wordWrap/>
        <w:overflowPunct/>
        <w:topLinePunct w:val="0"/>
        <w:bidi w:val="0"/>
        <w:spacing w:line="576" w:lineRule="exact"/>
        <w:rPr>
          <w:rFonts w:hint="default" w:ascii="Times New Roman" w:hAnsi="Times New Roman" w:eastAsia="仿宋_GB2312" w:cs="Times New Roman"/>
          <w:kern w:val="0"/>
          <w:sz w:val="32"/>
          <w:szCs w:val="32"/>
        </w:rPr>
      </w:pPr>
    </w:p>
    <w:p>
      <w:pPr>
        <w:pStyle w:val="2"/>
        <w:pageBreakBefore w:val="0"/>
        <w:kinsoku/>
        <w:wordWrap/>
        <w:overflowPunct/>
        <w:topLinePunct w:val="0"/>
        <w:bidi w:val="0"/>
        <w:spacing w:line="576"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pStyle w:val="2"/>
        <w:pageBreakBefore w:val="0"/>
        <w:kinsoku/>
        <w:wordWrap/>
        <w:overflowPunct/>
        <w:topLinePunct w:val="0"/>
        <w:bidi w:val="0"/>
        <w:spacing w:line="576" w:lineRule="exact"/>
        <w:rPr>
          <w:rFonts w:hint="default" w:ascii="Times New Roman" w:hAnsi="Times New Roman" w:eastAsia="方正仿宋_GBK" w:cs="Times New Roman"/>
          <w:sz w:val="32"/>
          <w:szCs w:val="32"/>
        </w:rPr>
      </w:pPr>
    </w:p>
    <w:p>
      <w:pPr>
        <w:pStyle w:val="2"/>
        <w:pageBreakBefore w:val="0"/>
        <w:kinsoku/>
        <w:wordWrap/>
        <w:overflowPunct/>
        <w:topLinePunct w:val="0"/>
        <w:bidi w:val="0"/>
        <w:spacing w:line="576" w:lineRule="exact"/>
        <w:rPr>
          <w:rFonts w:hint="default" w:ascii="Times New Roman" w:hAnsi="Times New Roman" w:eastAsia="方正仿宋_GBK" w:cs="Times New Roman"/>
          <w:sz w:val="32"/>
          <w:szCs w:val="32"/>
        </w:rPr>
      </w:pPr>
    </w:p>
    <w:p>
      <w:pPr>
        <w:pStyle w:val="2"/>
        <w:pageBreakBefore w:val="0"/>
        <w:kinsoku/>
        <w:wordWrap/>
        <w:overflowPunct/>
        <w:topLinePunct w:val="0"/>
        <w:bidi w:val="0"/>
        <w:spacing w:line="576" w:lineRule="exact"/>
        <w:rPr>
          <w:rFonts w:hint="default" w:ascii="Times New Roman" w:hAnsi="Times New Roman" w:eastAsia="方正仿宋_GBK" w:cs="Times New Roman"/>
          <w:sz w:val="32"/>
          <w:szCs w:val="32"/>
        </w:rPr>
      </w:pPr>
    </w:p>
    <w:p>
      <w:pPr>
        <w:pStyle w:val="2"/>
        <w:pageBreakBefore w:val="0"/>
        <w:kinsoku/>
        <w:wordWrap/>
        <w:overflowPunct/>
        <w:topLinePunct w:val="0"/>
        <w:bidi w:val="0"/>
        <w:spacing w:line="576" w:lineRule="exact"/>
        <w:rPr>
          <w:rFonts w:hint="default" w:ascii="Times New Roman" w:hAnsi="Times New Roman" w:eastAsia="方正仿宋_GBK" w:cs="Times New Roman"/>
          <w:sz w:val="32"/>
          <w:szCs w:val="32"/>
        </w:rPr>
      </w:pPr>
    </w:p>
    <w:p>
      <w:pPr>
        <w:pStyle w:val="2"/>
        <w:pageBreakBefore w:val="0"/>
        <w:kinsoku/>
        <w:wordWrap/>
        <w:overflowPunct/>
        <w:topLinePunct w:val="0"/>
        <w:bidi w:val="0"/>
        <w:spacing w:line="576" w:lineRule="exact"/>
        <w:rPr>
          <w:rFonts w:hint="default" w:ascii="Times New Roman" w:hAnsi="Times New Roman" w:eastAsia="方正仿宋_GBK" w:cs="Times New Roman"/>
          <w:sz w:val="32"/>
          <w:szCs w:val="32"/>
        </w:rPr>
      </w:pPr>
    </w:p>
    <w:p>
      <w:pPr>
        <w:pStyle w:val="2"/>
        <w:pageBreakBefore w:val="0"/>
        <w:kinsoku/>
        <w:wordWrap/>
        <w:overflowPunct/>
        <w:topLinePunct w:val="0"/>
        <w:bidi w:val="0"/>
        <w:spacing w:line="576" w:lineRule="exact"/>
        <w:rPr>
          <w:rFonts w:hint="default" w:ascii="Times New Roman" w:hAnsi="Times New Roman" w:eastAsia="方正仿宋_GBK" w:cs="Times New Roman"/>
          <w:sz w:val="32"/>
          <w:szCs w:val="32"/>
        </w:rPr>
      </w:pPr>
    </w:p>
    <w:p>
      <w:pPr>
        <w:pStyle w:val="2"/>
        <w:pageBreakBefore w:val="0"/>
        <w:kinsoku/>
        <w:wordWrap/>
        <w:overflowPunct/>
        <w:topLinePunct w:val="0"/>
        <w:bidi w:val="0"/>
        <w:spacing w:line="576" w:lineRule="exact"/>
        <w:rPr>
          <w:rFonts w:hint="default" w:ascii="Times New Roman" w:hAnsi="Times New Roman" w:eastAsia="方正仿宋_GBK" w:cs="Times New Roman"/>
          <w:sz w:val="32"/>
          <w:szCs w:val="32"/>
        </w:rPr>
      </w:pPr>
    </w:p>
    <w:p>
      <w:pPr>
        <w:pStyle w:val="2"/>
        <w:pageBreakBefore w:val="0"/>
        <w:kinsoku/>
        <w:wordWrap/>
        <w:overflowPunct/>
        <w:topLinePunct w:val="0"/>
        <w:bidi w:val="0"/>
        <w:spacing w:line="576" w:lineRule="exact"/>
        <w:rPr>
          <w:rFonts w:hint="default" w:ascii="Times New Roman" w:hAnsi="Times New Roman" w:eastAsia="方正仿宋_GBK" w:cs="Times New Roman"/>
          <w:sz w:val="32"/>
          <w:szCs w:val="32"/>
        </w:rPr>
      </w:pPr>
    </w:p>
    <w:p>
      <w:pPr>
        <w:pStyle w:val="2"/>
        <w:pageBreakBefore w:val="0"/>
        <w:kinsoku/>
        <w:wordWrap/>
        <w:overflowPunct/>
        <w:topLinePunct w:val="0"/>
        <w:bidi w:val="0"/>
        <w:spacing w:line="576" w:lineRule="exact"/>
        <w:rPr>
          <w:rFonts w:hint="default" w:ascii="Times New Roman" w:hAnsi="Times New Roman" w:eastAsia="方正仿宋_GBK" w:cs="Times New Roman"/>
          <w:sz w:val="32"/>
          <w:szCs w:val="32"/>
        </w:rPr>
      </w:pPr>
    </w:p>
    <w:p>
      <w:pPr>
        <w:pStyle w:val="2"/>
        <w:pageBreakBefore w:val="0"/>
        <w:kinsoku/>
        <w:wordWrap/>
        <w:overflowPunct/>
        <w:topLinePunct w:val="0"/>
        <w:bidi w:val="0"/>
        <w:spacing w:line="576" w:lineRule="exact"/>
        <w:rPr>
          <w:rFonts w:hint="default" w:ascii="Times New Roman" w:hAnsi="Times New Roman" w:eastAsia="方正仿宋_GBK" w:cs="Times New Roman"/>
          <w:sz w:val="32"/>
          <w:szCs w:val="32"/>
        </w:rPr>
      </w:pPr>
    </w:p>
    <w:p>
      <w:pPr>
        <w:pStyle w:val="2"/>
        <w:pageBreakBefore w:val="0"/>
        <w:kinsoku/>
        <w:wordWrap/>
        <w:overflowPunct/>
        <w:topLinePunct w:val="0"/>
        <w:bidi w:val="0"/>
        <w:spacing w:line="576" w:lineRule="exact"/>
        <w:rPr>
          <w:rFonts w:hint="default" w:ascii="Times New Roman" w:hAnsi="Times New Roman" w:eastAsia="方正仿宋_GBK" w:cs="Times New Roman"/>
          <w:sz w:val="32"/>
          <w:szCs w:val="32"/>
        </w:rPr>
      </w:pPr>
    </w:p>
    <w:p>
      <w:pPr>
        <w:pStyle w:val="2"/>
        <w:pageBreakBefore w:val="0"/>
        <w:kinsoku/>
        <w:wordWrap/>
        <w:overflowPunct/>
        <w:topLinePunct w:val="0"/>
        <w:bidi w:val="0"/>
        <w:spacing w:line="576" w:lineRule="exact"/>
        <w:rPr>
          <w:rFonts w:hint="default" w:ascii="Times New Roman" w:hAnsi="Times New Roman" w:eastAsia="方正仿宋_GBK" w:cs="Times New Roman"/>
          <w:sz w:val="32"/>
          <w:szCs w:val="32"/>
        </w:rPr>
      </w:pPr>
    </w:p>
    <w:p>
      <w:pPr>
        <w:pStyle w:val="2"/>
        <w:pageBreakBefore w:val="0"/>
        <w:kinsoku/>
        <w:wordWrap/>
        <w:overflowPunct/>
        <w:topLinePunct w:val="0"/>
        <w:bidi w:val="0"/>
        <w:spacing w:line="576" w:lineRule="exact"/>
        <w:rPr>
          <w:rFonts w:hint="default" w:ascii="Times New Roman" w:hAnsi="Times New Roman" w:eastAsia="方正仿宋_GBK" w:cs="Times New Roman"/>
          <w:sz w:val="32"/>
          <w:szCs w:val="32"/>
        </w:rPr>
      </w:pPr>
    </w:p>
    <w:p>
      <w:pPr>
        <w:pStyle w:val="2"/>
        <w:pageBreakBefore w:val="0"/>
        <w:kinsoku/>
        <w:wordWrap/>
        <w:overflowPunct/>
        <w:topLinePunct w:val="0"/>
        <w:bidi w:val="0"/>
        <w:spacing w:line="576" w:lineRule="exact"/>
        <w:rPr>
          <w:rFonts w:hint="default" w:ascii="Times New Roman" w:hAnsi="Times New Roman" w:eastAsia="方正仿宋_GBK" w:cs="Times New Roman"/>
          <w:sz w:val="32"/>
          <w:szCs w:val="32"/>
        </w:rPr>
      </w:pPr>
    </w:p>
    <w:p>
      <w:pPr>
        <w:pStyle w:val="2"/>
        <w:pageBreakBefore w:val="0"/>
        <w:kinsoku/>
        <w:wordWrap/>
        <w:overflowPunct/>
        <w:topLinePunct w:val="0"/>
        <w:bidi w:val="0"/>
        <w:spacing w:line="576" w:lineRule="exact"/>
        <w:rPr>
          <w:rFonts w:hint="default" w:ascii="Times New Roman" w:hAnsi="Times New Roman" w:cs="Times New Roman"/>
          <w:color w:val="auto"/>
          <w:highlight w:val="none"/>
          <w:lang w:val="zh-CN"/>
        </w:rPr>
      </w:pPr>
      <w:r>
        <w:rPr>
          <w:rFonts w:hint="default" w:ascii="Times New Roman" w:hAnsi="Times New Roman" w:cs="Times New Roman"/>
          <w:color w:val="auto"/>
          <w:kern w:val="0"/>
          <w:sz w:val="32"/>
          <w:szCs w:val="32"/>
          <w:highlight w:val="none"/>
          <w:shd w:val="clear" w:color="auto" w:fill="FFFFFF"/>
          <w:lang w:val="zh-CN"/>
        </w:rPr>
        <w:t>附件</w:t>
      </w:r>
    </w:p>
    <w:p>
      <w:pPr>
        <w:keepNext w:val="0"/>
        <w:keepLines w:val="0"/>
        <w:pageBreakBefore w:val="0"/>
        <w:widowControl w:val="0"/>
        <w:kinsoku/>
        <w:wordWrap/>
        <w:overflowPunct/>
        <w:topLinePunct w:val="0"/>
        <w:autoSpaceDE/>
        <w:autoSpaceDN/>
        <w:bidi w:val="0"/>
        <w:spacing w:line="576" w:lineRule="exact"/>
        <w:jc w:val="center"/>
        <w:textAlignment w:val="auto"/>
        <w:rPr>
          <w:rFonts w:hint="default" w:ascii="Times New Roman" w:hAnsi="Times New Roman" w:eastAsia="方正小标宋简体" w:cs="Times New Roman"/>
          <w:color w:val="auto"/>
          <w:kern w:val="2"/>
          <w:sz w:val="40"/>
          <w:szCs w:val="40"/>
          <w:highlight w:val="none"/>
          <w:lang w:val="zh-CN" w:eastAsia="zh-CN" w:bidi="ar-SA"/>
        </w:rPr>
      </w:pPr>
      <w:r>
        <w:rPr>
          <w:rFonts w:hint="default" w:ascii="Times New Roman" w:hAnsi="Times New Roman" w:eastAsia="方正小标宋简体" w:cs="Times New Roman"/>
          <w:color w:val="auto"/>
          <w:kern w:val="2"/>
          <w:sz w:val="40"/>
          <w:szCs w:val="40"/>
          <w:highlight w:val="none"/>
          <w:lang w:val="en-US" w:eastAsia="zh-CN" w:bidi="ar-SA"/>
        </w:rPr>
        <w:t>2022年</w:t>
      </w:r>
      <w:r>
        <w:rPr>
          <w:rFonts w:hint="default" w:ascii="Times New Roman" w:hAnsi="Times New Roman" w:eastAsia="方正小标宋简体" w:cs="Times New Roman"/>
          <w:color w:val="auto"/>
          <w:kern w:val="2"/>
          <w:sz w:val="40"/>
          <w:szCs w:val="40"/>
          <w:highlight w:val="none"/>
          <w:lang w:val="zh-CN" w:eastAsia="zh-CN" w:bidi="ar-SA"/>
        </w:rPr>
        <w:t>专项预算项目支出绩效自评报告范本</w:t>
      </w:r>
    </w:p>
    <w:p>
      <w:pPr>
        <w:keepNext w:val="0"/>
        <w:keepLines w:val="0"/>
        <w:pageBreakBefore w:val="0"/>
        <w:widowControl w:val="0"/>
        <w:kinsoku/>
        <w:wordWrap/>
        <w:overflowPunct/>
        <w:topLinePunct w:val="0"/>
        <w:autoSpaceDE/>
        <w:autoSpaceDN/>
        <w:bidi w:val="0"/>
        <w:spacing w:line="576" w:lineRule="exact"/>
        <w:ind w:firstLine="883"/>
        <w:jc w:val="center"/>
        <w:textAlignment w:val="auto"/>
        <w:rPr>
          <w:rFonts w:hint="default" w:ascii="Times New Roman" w:hAnsi="Times New Roman" w:eastAsia="仿宋_GB2312" w:cs="Times New Roman"/>
          <w:color w:val="auto"/>
          <w:kern w:val="2"/>
          <w:sz w:val="32"/>
          <w:szCs w:val="32"/>
          <w:highlight w:val="none"/>
          <w:lang w:val="zh-CN" w:eastAsia="zh-CN" w:bidi="ar-SA"/>
        </w:rPr>
      </w:pPr>
      <w:r>
        <w:rPr>
          <w:rFonts w:hint="default" w:ascii="Times New Roman" w:hAnsi="Times New Roman" w:eastAsia="仿宋_GB2312" w:cs="Times New Roman"/>
          <w:color w:val="auto"/>
          <w:kern w:val="2"/>
          <w:sz w:val="32"/>
          <w:szCs w:val="32"/>
          <w:highlight w:val="none"/>
          <w:lang w:val="zh-CN" w:eastAsia="zh-CN" w:bidi="ar-SA"/>
        </w:rPr>
        <w:t>（主管部门自评）</w:t>
      </w:r>
    </w:p>
    <w:p>
      <w:pPr>
        <w:keepNext w:val="0"/>
        <w:keepLines w:val="0"/>
        <w:pageBreakBefore w:val="0"/>
        <w:widowControl w:val="0"/>
        <w:kinsoku/>
        <w:wordWrap/>
        <w:overflowPunct/>
        <w:topLinePunct w:val="0"/>
        <w:autoSpaceDE/>
        <w:autoSpaceDN/>
        <w:bidi w:val="0"/>
        <w:spacing w:line="576" w:lineRule="exact"/>
        <w:ind w:firstLine="640"/>
        <w:jc w:val="left"/>
        <w:textAlignment w:val="auto"/>
        <w:rPr>
          <w:rFonts w:hint="default" w:ascii="Times New Roman" w:hAnsi="Times New Roman" w:eastAsia="宋体" w:cs="Times New Roman"/>
          <w:color w:val="auto"/>
          <w:kern w:val="2"/>
          <w:sz w:val="32"/>
          <w:szCs w:val="32"/>
          <w:highlight w:val="yellow"/>
          <w:lang w:val="zh-CN" w:eastAsia="zh-CN" w:bidi="ar-SA"/>
        </w:rPr>
      </w:pPr>
      <w:r>
        <w:rPr>
          <w:rFonts w:hint="default" w:ascii="Times New Roman" w:hAnsi="Times New Roman" w:eastAsia="宋体" w:cs="Times New Roman"/>
          <w:color w:val="auto"/>
          <w:kern w:val="2"/>
          <w:sz w:val="32"/>
          <w:szCs w:val="32"/>
          <w:highlight w:val="yellow"/>
          <w:lang w:val="zh-CN" w:eastAsia="zh-CN" w:bidi="ar-SA"/>
        </w:rPr>
        <w:t>（备注：根据巴财监绩[2022]2号文件市财政局关于开展2022年财政支出绩效评价工作的通知要求市财政评价工作组对我会整体支出绩效进行重点评价，项目支出绩效评价我会不涉及）</w:t>
      </w:r>
    </w:p>
    <w:p>
      <w:pPr>
        <w:keepNext w:val="0"/>
        <w:keepLines w:val="0"/>
        <w:pageBreakBefore w:val="0"/>
        <w:kinsoku/>
        <w:wordWrap/>
        <w:overflowPunct/>
        <w:topLinePunct w:val="0"/>
        <w:autoSpaceDE/>
        <w:autoSpaceDN/>
        <w:bidi w:val="0"/>
        <w:adjustRightInd w:val="0"/>
        <w:snapToGrid w:val="0"/>
        <w:spacing w:line="576" w:lineRule="exact"/>
        <w:ind w:firstLine="720"/>
        <w:jc w:val="left"/>
        <w:textAlignment w:val="auto"/>
        <w:rPr>
          <w:rFonts w:hint="default" w:ascii="Times New Roman" w:hAnsi="Times New Roman" w:eastAsia="黑体" w:cs="Times New Roman"/>
          <w:color w:val="auto"/>
          <w:sz w:val="32"/>
          <w:szCs w:val="32"/>
          <w:highlight w:val="none"/>
          <w:lang w:val="zh-CN"/>
        </w:rPr>
      </w:pPr>
      <w:r>
        <w:rPr>
          <w:rFonts w:hint="default" w:ascii="Times New Roman" w:hAnsi="Times New Roman" w:eastAsia="黑体" w:cs="Times New Roman"/>
          <w:color w:val="auto"/>
          <w:sz w:val="32"/>
          <w:szCs w:val="32"/>
          <w:highlight w:val="none"/>
        </w:rPr>
        <w:t>一、</w:t>
      </w:r>
      <w:r>
        <w:rPr>
          <w:rFonts w:hint="default" w:ascii="Times New Roman" w:hAnsi="Times New Roman" w:eastAsia="黑体" w:cs="Times New Roman"/>
          <w:color w:val="auto"/>
          <w:sz w:val="32"/>
          <w:szCs w:val="32"/>
          <w:highlight w:val="none"/>
          <w:lang w:val="zh-CN"/>
        </w:rPr>
        <w:t>项目概况</w:t>
      </w:r>
    </w:p>
    <w:p>
      <w:pPr>
        <w:keepNext w:val="0"/>
        <w:keepLines w:val="0"/>
        <w:pageBreakBefore w:val="0"/>
        <w:kinsoku/>
        <w:wordWrap/>
        <w:overflowPunct/>
        <w:topLinePunct w:val="0"/>
        <w:autoSpaceDE/>
        <w:autoSpaceDN/>
        <w:bidi w:val="0"/>
        <w:adjustRightInd w:val="0"/>
        <w:snapToGrid w:val="0"/>
        <w:spacing w:line="576" w:lineRule="exact"/>
        <w:ind w:firstLine="720"/>
        <w:textAlignment w:val="auto"/>
        <w:rPr>
          <w:rFonts w:hint="default" w:ascii="Times New Roman" w:hAnsi="Times New Roman" w:eastAsia="楷体_GB2312" w:cs="Times New Roman"/>
          <w:b w:val="0"/>
          <w:bCs/>
          <w:color w:val="auto"/>
          <w:sz w:val="32"/>
          <w:szCs w:val="32"/>
          <w:highlight w:val="none"/>
          <w:lang w:val="zh-CN"/>
        </w:rPr>
      </w:pPr>
      <w:r>
        <w:rPr>
          <w:rFonts w:hint="default" w:ascii="Times New Roman" w:hAnsi="Times New Roman" w:eastAsia="楷体_GB2312" w:cs="Times New Roman"/>
          <w:b w:val="0"/>
          <w:bCs/>
          <w:color w:val="auto"/>
          <w:sz w:val="32"/>
          <w:szCs w:val="32"/>
          <w:highlight w:val="none"/>
          <w:lang w:val="zh-CN"/>
        </w:rPr>
        <w:t>（一）项目基本情况。</w:t>
      </w:r>
    </w:p>
    <w:p>
      <w:pPr>
        <w:keepNext w:val="0"/>
        <w:keepLines w:val="0"/>
        <w:pageBreakBefore w:val="0"/>
        <w:kinsoku/>
        <w:wordWrap/>
        <w:overflowPunct/>
        <w:topLinePunct w:val="0"/>
        <w:autoSpaceDE/>
        <w:autoSpaceDN/>
        <w:bidi w:val="0"/>
        <w:adjustRightInd w:val="0"/>
        <w:snapToGrid w:val="0"/>
        <w:spacing w:line="576" w:lineRule="exact"/>
        <w:ind w:firstLine="720"/>
        <w:textAlignment w:val="auto"/>
        <w:rPr>
          <w:rFonts w:hint="default" w:ascii="Times New Roman" w:hAnsi="Times New Roman" w:eastAsia="仿宋_GB2312" w:cs="Times New Roman"/>
          <w:color w:val="auto"/>
          <w:sz w:val="32"/>
          <w:szCs w:val="32"/>
          <w:highlight w:val="none"/>
          <w:lang w:val="zh-CN"/>
        </w:rPr>
      </w:pPr>
      <w:r>
        <w:rPr>
          <w:rFonts w:hint="default" w:ascii="Times New Roman" w:hAnsi="Times New Roman" w:eastAsia="仿宋_GB2312" w:cs="Times New Roman"/>
          <w:color w:val="auto"/>
          <w:sz w:val="32"/>
          <w:szCs w:val="32"/>
          <w:highlight w:val="none"/>
          <w:lang w:val="zh-CN"/>
        </w:rPr>
        <w:t>1．说明项目主管部门（单位）在该项目管理中的职能。</w:t>
      </w:r>
    </w:p>
    <w:p>
      <w:pPr>
        <w:keepNext w:val="0"/>
        <w:keepLines w:val="0"/>
        <w:pageBreakBefore w:val="0"/>
        <w:kinsoku/>
        <w:wordWrap/>
        <w:overflowPunct/>
        <w:topLinePunct w:val="0"/>
        <w:autoSpaceDE/>
        <w:autoSpaceDN/>
        <w:bidi w:val="0"/>
        <w:adjustRightInd w:val="0"/>
        <w:snapToGrid w:val="0"/>
        <w:spacing w:line="576" w:lineRule="exact"/>
        <w:ind w:firstLine="720"/>
        <w:textAlignment w:val="auto"/>
        <w:rPr>
          <w:rFonts w:hint="default" w:ascii="Times New Roman" w:hAnsi="Times New Roman" w:eastAsia="仿宋_GB2312" w:cs="Times New Roman"/>
          <w:color w:val="auto"/>
          <w:sz w:val="32"/>
          <w:szCs w:val="32"/>
          <w:highlight w:val="none"/>
          <w:lang w:val="zh-CN"/>
        </w:rPr>
      </w:pPr>
      <w:r>
        <w:rPr>
          <w:rFonts w:hint="default" w:ascii="Times New Roman" w:hAnsi="Times New Roman" w:eastAsia="仿宋_GB2312" w:cs="Times New Roman"/>
          <w:color w:val="auto"/>
          <w:sz w:val="32"/>
          <w:szCs w:val="32"/>
          <w:highlight w:val="none"/>
          <w:lang w:val="zh-CN"/>
        </w:rPr>
        <w:t>2．项目立项、资金申报的依据。</w:t>
      </w:r>
    </w:p>
    <w:p>
      <w:pPr>
        <w:keepNext w:val="0"/>
        <w:keepLines w:val="0"/>
        <w:pageBreakBefore w:val="0"/>
        <w:kinsoku/>
        <w:wordWrap/>
        <w:overflowPunct/>
        <w:topLinePunct w:val="0"/>
        <w:autoSpaceDE/>
        <w:autoSpaceDN/>
        <w:bidi w:val="0"/>
        <w:adjustRightInd w:val="0"/>
        <w:snapToGrid w:val="0"/>
        <w:spacing w:line="576" w:lineRule="exact"/>
        <w:ind w:firstLine="720"/>
        <w:textAlignment w:val="auto"/>
        <w:rPr>
          <w:rFonts w:hint="default" w:ascii="Times New Roman" w:hAnsi="Times New Roman" w:eastAsia="仿宋_GB2312" w:cs="Times New Roman"/>
          <w:color w:val="auto"/>
          <w:sz w:val="32"/>
          <w:szCs w:val="32"/>
          <w:highlight w:val="none"/>
          <w:lang w:val="zh-CN"/>
        </w:rPr>
      </w:pPr>
      <w:r>
        <w:rPr>
          <w:rFonts w:hint="default" w:ascii="Times New Roman" w:hAnsi="Times New Roman" w:eastAsia="仿宋_GB2312" w:cs="Times New Roman"/>
          <w:color w:val="auto"/>
          <w:sz w:val="32"/>
          <w:szCs w:val="32"/>
          <w:highlight w:val="none"/>
          <w:lang w:val="zh-CN"/>
        </w:rPr>
        <w:t>3．资金管理办法制定情况，资金支持具体项目的条件、范围与支持方式概况。</w:t>
      </w:r>
    </w:p>
    <w:p>
      <w:pPr>
        <w:keepNext w:val="0"/>
        <w:keepLines w:val="0"/>
        <w:pageBreakBefore w:val="0"/>
        <w:kinsoku/>
        <w:wordWrap/>
        <w:overflowPunct/>
        <w:topLinePunct w:val="0"/>
        <w:autoSpaceDE/>
        <w:autoSpaceDN/>
        <w:bidi w:val="0"/>
        <w:adjustRightInd w:val="0"/>
        <w:snapToGrid w:val="0"/>
        <w:spacing w:line="576" w:lineRule="exact"/>
        <w:ind w:firstLine="720"/>
        <w:textAlignment w:val="auto"/>
        <w:rPr>
          <w:rFonts w:hint="default" w:ascii="Times New Roman" w:hAnsi="Times New Roman" w:eastAsia="仿宋_GB2312" w:cs="Times New Roman"/>
          <w:color w:val="auto"/>
          <w:sz w:val="32"/>
          <w:szCs w:val="32"/>
          <w:highlight w:val="none"/>
          <w:lang w:val="zh-CN"/>
        </w:rPr>
      </w:pPr>
      <w:r>
        <w:rPr>
          <w:rFonts w:hint="default" w:ascii="Times New Roman" w:hAnsi="Times New Roman" w:eastAsia="仿宋_GB2312" w:cs="Times New Roman"/>
          <w:color w:val="auto"/>
          <w:sz w:val="32"/>
          <w:szCs w:val="32"/>
          <w:highlight w:val="none"/>
          <w:lang w:val="zh-CN"/>
        </w:rPr>
        <w:t>4．资金分配的原则及考虑因素。</w:t>
      </w:r>
    </w:p>
    <w:p>
      <w:pPr>
        <w:keepNext w:val="0"/>
        <w:keepLines w:val="0"/>
        <w:pageBreakBefore w:val="0"/>
        <w:kinsoku/>
        <w:wordWrap/>
        <w:overflowPunct/>
        <w:topLinePunct w:val="0"/>
        <w:autoSpaceDE/>
        <w:autoSpaceDN/>
        <w:bidi w:val="0"/>
        <w:adjustRightInd w:val="0"/>
        <w:snapToGrid w:val="0"/>
        <w:spacing w:line="576" w:lineRule="exact"/>
        <w:ind w:firstLine="720"/>
        <w:textAlignment w:val="auto"/>
        <w:rPr>
          <w:rFonts w:hint="default" w:ascii="Times New Roman" w:hAnsi="Times New Roman" w:eastAsia="楷体_GB2312" w:cs="Times New Roman"/>
          <w:b w:val="0"/>
          <w:bCs/>
          <w:color w:val="auto"/>
          <w:sz w:val="32"/>
          <w:szCs w:val="32"/>
          <w:highlight w:val="none"/>
          <w:lang w:val="zh-CN"/>
        </w:rPr>
      </w:pPr>
      <w:r>
        <w:rPr>
          <w:rFonts w:hint="default" w:ascii="Times New Roman" w:hAnsi="Times New Roman" w:eastAsia="楷体_GB2312" w:cs="Times New Roman"/>
          <w:b w:val="0"/>
          <w:bCs/>
          <w:color w:val="auto"/>
          <w:sz w:val="32"/>
          <w:szCs w:val="32"/>
          <w:highlight w:val="none"/>
          <w:lang w:val="zh-CN"/>
        </w:rPr>
        <w:t>（二）项目绩效目标。</w:t>
      </w:r>
    </w:p>
    <w:p>
      <w:pPr>
        <w:keepNext w:val="0"/>
        <w:keepLines w:val="0"/>
        <w:pageBreakBefore w:val="0"/>
        <w:kinsoku/>
        <w:wordWrap/>
        <w:overflowPunct/>
        <w:topLinePunct w:val="0"/>
        <w:autoSpaceDE/>
        <w:autoSpaceDN/>
        <w:bidi w:val="0"/>
        <w:adjustRightInd w:val="0"/>
        <w:snapToGrid w:val="0"/>
        <w:spacing w:line="576" w:lineRule="exact"/>
        <w:ind w:firstLine="720"/>
        <w:textAlignment w:val="auto"/>
        <w:rPr>
          <w:rFonts w:hint="default" w:ascii="Times New Roman" w:hAnsi="Times New Roman" w:eastAsia="仿宋_GB2312" w:cs="Times New Roman"/>
          <w:color w:val="auto"/>
          <w:sz w:val="32"/>
          <w:szCs w:val="32"/>
          <w:highlight w:val="none"/>
          <w:lang w:val="zh-CN"/>
        </w:rPr>
      </w:pPr>
      <w:r>
        <w:rPr>
          <w:rFonts w:hint="default" w:ascii="Times New Roman" w:hAnsi="Times New Roman" w:eastAsia="仿宋_GB2312" w:cs="Times New Roman"/>
          <w:color w:val="auto"/>
          <w:sz w:val="32"/>
          <w:szCs w:val="32"/>
          <w:highlight w:val="none"/>
          <w:lang w:val="zh-CN"/>
        </w:rPr>
        <w:t>1．项目主要内容。</w:t>
      </w:r>
    </w:p>
    <w:p>
      <w:pPr>
        <w:keepNext w:val="0"/>
        <w:keepLines w:val="0"/>
        <w:pageBreakBefore w:val="0"/>
        <w:kinsoku/>
        <w:wordWrap/>
        <w:overflowPunct/>
        <w:topLinePunct w:val="0"/>
        <w:autoSpaceDE/>
        <w:autoSpaceDN/>
        <w:bidi w:val="0"/>
        <w:adjustRightInd w:val="0"/>
        <w:snapToGrid w:val="0"/>
        <w:spacing w:line="576" w:lineRule="exact"/>
        <w:ind w:firstLine="720"/>
        <w:textAlignment w:val="auto"/>
        <w:rPr>
          <w:rFonts w:hint="default" w:ascii="Times New Roman" w:hAnsi="Times New Roman" w:eastAsia="仿宋_GB2312" w:cs="Times New Roman"/>
          <w:color w:val="auto"/>
          <w:sz w:val="32"/>
          <w:szCs w:val="32"/>
          <w:highlight w:val="none"/>
          <w:lang w:val="zh-CN"/>
        </w:rPr>
      </w:pPr>
      <w:r>
        <w:rPr>
          <w:rFonts w:hint="default" w:ascii="Times New Roman" w:hAnsi="Times New Roman" w:eastAsia="仿宋_GB2312" w:cs="Times New Roman"/>
          <w:color w:val="auto"/>
          <w:sz w:val="32"/>
          <w:szCs w:val="32"/>
          <w:highlight w:val="none"/>
          <w:lang w:val="zh-CN"/>
        </w:rPr>
        <w:t>2．项目应实现的具体绩效目标，包括目标的量化、细化情况以及项目实施进度计划等。</w:t>
      </w:r>
    </w:p>
    <w:p>
      <w:pPr>
        <w:keepNext w:val="0"/>
        <w:keepLines w:val="0"/>
        <w:pageBreakBefore w:val="0"/>
        <w:kinsoku/>
        <w:wordWrap/>
        <w:overflowPunct/>
        <w:topLinePunct w:val="0"/>
        <w:autoSpaceDE/>
        <w:autoSpaceDN/>
        <w:bidi w:val="0"/>
        <w:adjustRightInd w:val="0"/>
        <w:snapToGrid w:val="0"/>
        <w:spacing w:line="576" w:lineRule="exact"/>
        <w:ind w:firstLine="720"/>
        <w:textAlignment w:val="auto"/>
        <w:rPr>
          <w:rFonts w:hint="default" w:ascii="Times New Roman" w:hAnsi="Times New Roman" w:eastAsia="仿宋_GB2312" w:cs="Times New Roman"/>
          <w:color w:val="auto"/>
          <w:sz w:val="32"/>
          <w:szCs w:val="32"/>
          <w:highlight w:val="none"/>
          <w:lang w:val="zh-CN"/>
        </w:rPr>
      </w:pPr>
      <w:r>
        <w:rPr>
          <w:rFonts w:hint="default" w:ascii="Times New Roman" w:hAnsi="Times New Roman" w:eastAsia="仿宋_GB2312" w:cs="Times New Roman"/>
          <w:color w:val="auto"/>
          <w:sz w:val="32"/>
          <w:szCs w:val="32"/>
          <w:highlight w:val="none"/>
          <w:lang w:val="zh-CN"/>
        </w:rPr>
        <w:t>3．分析评价申报内容是否与实际相符，申报目标是否合理可行。</w:t>
      </w:r>
    </w:p>
    <w:p>
      <w:pPr>
        <w:keepNext w:val="0"/>
        <w:keepLines w:val="0"/>
        <w:pageBreakBefore w:val="0"/>
        <w:kinsoku/>
        <w:wordWrap/>
        <w:overflowPunct/>
        <w:topLinePunct w:val="0"/>
        <w:autoSpaceDE/>
        <w:autoSpaceDN/>
        <w:bidi w:val="0"/>
        <w:adjustRightInd w:val="0"/>
        <w:snapToGrid w:val="0"/>
        <w:spacing w:line="576" w:lineRule="exact"/>
        <w:ind w:firstLine="720"/>
        <w:textAlignment w:val="auto"/>
        <w:rPr>
          <w:rFonts w:hint="default" w:ascii="Times New Roman" w:hAnsi="Times New Roman" w:eastAsia="楷体_GB2312" w:cs="Times New Roman"/>
          <w:b w:val="0"/>
          <w:bCs/>
          <w:color w:val="auto"/>
          <w:sz w:val="32"/>
          <w:szCs w:val="32"/>
          <w:highlight w:val="none"/>
          <w:lang w:val="zh-CN"/>
        </w:rPr>
      </w:pPr>
      <w:r>
        <w:rPr>
          <w:rFonts w:hint="default" w:ascii="Times New Roman" w:hAnsi="Times New Roman" w:eastAsia="楷体_GB2312" w:cs="Times New Roman"/>
          <w:b w:val="0"/>
          <w:bCs/>
          <w:color w:val="auto"/>
          <w:sz w:val="32"/>
          <w:szCs w:val="32"/>
          <w:highlight w:val="none"/>
          <w:lang w:val="zh-CN"/>
        </w:rPr>
        <w:t>（三）项目自评步骤及方法。</w:t>
      </w:r>
    </w:p>
    <w:p>
      <w:pPr>
        <w:keepNext w:val="0"/>
        <w:keepLines w:val="0"/>
        <w:pageBreakBefore w:val="0"/>
        <w:kinsoku/>
        <w:wordWrap/>
        <w:overflowPunct/>
        <w:topLinePunct w:val="0"/>
        <w:autoSpaceDE/>
        <w:autoSpaceDN/>
        <w:bidi w:val="0"/>
        <w:adjustRightInd w:val="0"/>
        <w:snapToGrid w:val="0"/>
        <w:spacing w:line="576" w:lineRule="exact"/>
        <w:ind w:firstLine="720"/>
        <w:textAlignment w:val="auto"/>
        <w:rPr>
          <w:rFonts w:hint="default" w:ascii="Times New Roman" w:hAnsi="Times New Roman" w:eastAsia="仿宋_GB2312" w:cs="Times New Roman"/>
          <w:color w:val="auto"/>
          <w:sz w:val="32"/>
          <w:szCs w:val="32"/>
          <w:highlight w:val="none"/>
          <w:lang w:val="zh-CN"/>
        </w:rPr>
      </w:pPr>
      <w:r>
        <w:rPr>
          <w:rFonts w:hint="default" w:ascii="Times New Roman" w:hAnsi="Times New Roman" w:eastAsia="仿宋_GB2312" w:cs="Times New Roman"/>
          <w:color w:val="auto"/>
          <w:sz w:val="32"/>
          <w:szCs w:val="32"/>
          <w:highlight w:val="none"/>
          <w:lang w:val="zh-CN"/>
        </w:rPr>
        <w:t>说明项目绩效自评采用的组织实施步骤及方法。</w:t>
      </w:r>
    </w:p>
    <w:p>
      <w:pPr>
        <w:keepNext w:val="0"/>
        <w:keepLines w:val="0"/>
        <w:pageBreakBefore w:val="0"/>
        <w:kinsoku/>
        <w:wordWrap/>
        <w:overflowPunct/>
        <w:topLinePunct w:val="0"/>
        <w:autoSpaceDE/>
        <w:autoSpaceDN/>
        <w:bidi w:val="0"/>
        <w:adjustRightInd w:val="0"/>
        <w:snapToGrid w:val="0"/>
        <w:spacing w:line="576" w:lineRule="exact"/>
        <w:ind w:firstLine="72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二、项目资金申报及使用情况</w:t>
      </w:r>
    </w:p>
    <w:p>
      <w:pPr>
        <w:keepNext w:val="0"/>
        <w:keepLines w:val="0"/>
        <w:pageBreakBefore w:val="0"/>
        <w:kinsoku/>
        <w:wordWrap/>
        <w:overflowPunct/>
        <w:topLinePunct w:val="0"/>
        <w:autoSpaceDE/>
        <w:autoSpaceDN/>
        <w:bidi w:val="0"/>
        <w:adjustRightInd w:val="0"/>
        <w:snapToGrid w:val="0"/>
        <w:spacing w:line="576" w:lineRule="exact"/>
        <w:ind w:firstLine="720"/>
        <w:textAlignment w:val="auto"/>
        <w:rPr>
          <w:rFonts w:hint="default" w:ascii="Times New Roman" w:hAnsi="Times New Roman" w:eastAsia="楷体_GB2312" w:cs="Times New Roman"/>
          <w:b w:val="0"/>
          <w:bCs/>
          <w:color w:val="auto"/>
          <w:sz w:val="32"/>
          <w:szCs w:val="32"/>
          <w:highlight w:val="none"/>
          <w:lang w:val="zh-CN"/>
        </w:rPr>
      </w:pPr>
      <w:r>
        <w:rPr>
          <w:rFonts w:hint="default" w:ascii="Times New Roman" w:hAnsi="Times New Roman" w:eastAsia="楷体_GB2312" w:cs="Times New Roman"/>
          <w:b w:val="0"/>
          <w:bCs/>
          <w:color w:val="auto"/>
          <w:sz w:val="32"/>
          <w:szCs w:val="32"/>
          <w:highlight w:val="none"/>
          <w:lang w:val="zh-CN"/>
        </w:rPr>
        <w:t>（一）项目资金申报及批复情况。</w:t>
      </w:r>
    </w:p>
    <w:p>
      <w:pPr>
        <w:keepNext w:val="0"/>
        <w:keepLines w:val="0"/>
        <w:pageBreakBefore w:val="0"/>
        <w:kinsoku/>
        <w:wordWrap/>
        <w:overflowPunct/>
        <w:topLinePunct w:val="0"/>
        <w:autoSpaceDE/>
        <w:autoSpaceDN/>
        <w:bidi w:val="0"/>
        <w:adjustRightInd w:val="0"/>
        <w:snapToGrid w:val="0"/>
        <w:spacing w:line="576" w:lineRule="exact"/>
        <w:ind w:firstLine="720"/>
        <w:textAlignment w:val="auto"/>
        <w:rPr>
          <w:rFonts w:hint="default" w:ascii="Times New Roman" w:hAnsi="Times New Roman" w:eastAsia="仿宋_GB2312" w:cs="Times New Roman"/>
          <w:color w:val="auto"/>
          <w:sz w:val="32"/>
          <w:szCs w:val="32"/>
          <w:highlight w:val="none"/>
          <w:lang w:val="zh-CN"/>
        </w:rPr>
      </w:pPr>
      <w:r>
        <w:rPr>
          <w:rFonts w:hint="default" w:ascii="Times New Roman" w:hAnsi="Times New Roman" w:eastAsia="仿宋_GB2312" w:cs="Times New Roman"/>
          <w:color w:val="auto"/>
          <w:sz w:val="32"/>
          <w:szCs w:val="32"/>
          <w:highlight w:val="none"/>
          <w:lang w:val="zh-CN"/>
        </w:rPr>
        <w:t>说明项目资金申报、批复及预算调整等程序的相关情况。</w:t>
      </w:r>
    </w:p>
    <w:p>
      <w:pPr>
        <w:keepNext w:val="0"/>
        <w:keepLines w:val="0"/>
        <w:pageBreakBefore w:val="0"/>
        <w:kinsoku/>
        <w:wordWrap/>
        <w:overflowPunct/>
        <w:topLinePunct w:val="0"/>
        <w:autoSpaceDE/>
        <w:autoSpaceDN/>
        <w:bidi w:val="0"/>
        <w:adjustRightInd w:val="0"/>
        <w:snapToGrid w:val="0"/>
        <w:spacing w:line="576" w:lineRule="exact"/>
        <w:ind w:firstLine="720"/>
        <w:textAlignment w:val="auto"/>
        <w:rPr>
          <w:rFonts w:hint="default" w:ascii="Times New Roman" w:hAnsi="Times New Roman" w:eastAsia="楷体_GB2312" w:cs="Times New Roman"/>
          <w:b w:val="0"/>
          <w:bCs/>
          <w:color w:val="auto"/>
          <w:sz w:val="32"/>
          <w:szCs w:val="32"/>
          <w:highlight w:val="none"/>
          <w:lang w:val="zh-CN"/>
        </w:rPr>
      </w:pPr>
      <w:r>
        <w:rPr>
          <w:rFonts w:hint="default" w:ascii="Times New Roman" w:hAnsi="Times New Roman" w:eastAsia="楷体_GB2312" w:cs="Times New Roman"/>
          <w:b w:val="0"/>
          <w:bCs/>
          <w:color w:val="auto"/>
          <w:sz w:val="32"/>
          <w:szCs w:val="32"/>
          <w:highlight w:val="none"/>
          <w:lang w:val="zh-CN"/>
        </w:rPr>
        <w:t>（二）资金计划、到位及使用情况（可用表格形式反映）。</w:t>
      </w:r>
    </w:p>
    <w:p>
      <w:pPr>
        <w:keepNext w:val="0"/>
        <w:keepLines w:val="0"/>
        <w:pageBreakBefore w:val="0"/>
        <w:kinsoku/>
        <w:wordWrap/>
        <w:overflowPunct/>
        <w:topLinePunct w:val="0"/>
        <w:autoSpaceDE/>
        <w:autoSpaceDN/>
        <w:bidi w:val="0"/>
        <w:adjustRightInd w:val="0"/>
        <w:snapToGrid w:val="0"/>
        <w:spacing w:line="576" w:lineRule="exact"/>
        <w:ind w:firstLine="720"/>
        <w:textAlignment w:val="auto"/>
        <w:rPr>
          <w:rFonts w:hint="default" w:ascii="Times New Roman" w:hAnsi="Times New Roman" w:eastAsia="仿宋_GB2312" w:cs="Times New Roman"/>
          <w:color w:val="auto"/>
          <w:sz w:val="32"/>
          <w:szCs w:val="32"/>
          <w:highlight w:val="none"/>
          <w:lang w:val="zh-CN"/>
        </w:rPr>
      </w:pPr>
      <w:r>
        <w:rPr>
          <w:rFonts w:hint="default" w:ascii="Times New Roman" w:hAnsi="Times New Roman" w:eastAsia="楷体_GB2312" w:cs="Times New Roman"/>
          <w:color w:val="auto"/>
          <w:sz w:val="32"/>
          <w:szCs w:val="32"/>
          <w:highlight w:val="none"/>
          <w:lang w:val="zh-CN"/>
        </w:rPr>
        <w:t>1．资金计划。</w:t>
      </w:r>
      <w:r>
        <w:rPr>
          <w:rFonts w:hint="default" w:ascii="Times New Roman" w:hAnsi="Times New Roman" w:eastAsia="仿宋_GB2312" w:cs="Times New Roman"/>
          <w:color w:val="auto"/>
          <w:sz w:val="32"/>
          <w:szCs w:val="32"/>
          <w:highlight w:val="none"/>
          <w:lang w:val="zh-CN"/>
        </w:rPr>
        <w:t>在说明该项目全省资金计划的基础上，分项目大类或市（州）分别说明各类资金计划情况，包括中央、省、市（州）、县（市、区）财政资金、项目单位自筹、其他渠道资金（包括银行贷款及其他资金等）。</w:t>
      </w:r>
    </w:p>
    <w:p>
      <w:pPr>
        <w:keepNext w:val="0"/>
        <w:keepLines w:val="0"/>
        <w:pageBreakBefore w:val="0"/>
        <w:kinsoku/>
        <w:wordWrap/>
        <w:overflowPunct/>
        <w:topLinePunct w:val="0"/>
        <w:autoSpaceDE/>
        <w:autoSpaceDN/>
        <w:bidi w:val="0"/>
        <w:adjustRightInd w:val="0"/>
        <w:snapToGrid w:val="0"/>
        <w:spacing w:line="576" w:lineRule="exact"/>
        <w:ind w:firstLine="720"/>
        <w:textAlignment w:val="auto"/>
        <w:rPr>
          <w:rFonts w:hint="default" w:ascii="Times New Roman" w:hAnsi="Times New Roman" w:eastAsia="仿宋_GB2312" w:cs="Times New Roman"/>
          <w:color w:val="auto"/>
          <w:sz w:val="32"/>
          <w:szCs w:val="32"/>
          <w:highlight w:val="none"/>
          <w:lang w:val="zh-CN"/>
        </w:rPr>
      </w:pPr>
      <w:r>
        <w:rPr>
          <w:rFonts w:hint="default" w:ascii="Times New Roman" w:hAnsi="Times New Roman" w:eastAsia="楷体_GB2312" w:cs="Times New Roman"/>
          <w:color w:val="auto"/>
          <w:sz w:val="32"/>
          <w:szCs w:val="32"/>
          <w:highlight w:val="none"/>
          <w:lang w:val="zh-CN"/>
        </w:rPr>
        <w:t>2．资金到位。</w:t>
      </w:r>
      <w:r>
        <w:rPr>
          <w:rFonts w:hint="default" w:ascii="Times New Roman" w:hAnsi="Times New Roman" w:eastAsia="仿宋_GB2312" w:cs="Times New Roman"/>
          <w:color w:val="auto"/>
          <w:sz w:val="32"/>
          <w:szCs w:val="32"/>
          <w:highlight w:val="none"/>
          <w:lang w:val="zh-CN"/>
        </w:rPr>
        <w:t>汇总统计截止评价时点该项目全省资金到位情况。在此基础上分项目大类或市（州）统计各类资金到位情况，包括中央、省、市（州）、县（市、区）财政资金、项目单位自筹及其他渠道资金（包括银行贷款及其他资金等）。将资金到位情况与资金计划进行比对，并重点围绕资金到位率、到位及时性等进行评价，对未到位或到位不及时的情况作出分析说明。</w:t>
      </w:r>
    </w:p>
    <w:p>
      <w:pPr>
        <w:keepNext w:val="0"/>
        <w:keepLines w:val="0"/>
        <w:pageBreakBefore w:val="0"/>
        <w:kinsoku/>
        <w:wordWrap/>
        <w:overflowPunct/>
        <w:topLinePunct w:val="0"/>
        <w:autoSpaceDE/>
        <w:autoSpaceDN/>
        <w:bidi w:val="0"/>
        <w:adjustRightInd w:val="0"/>
        <w:snapToGrid w:val="0"/>
        <w:spacing w:line="576" w:lineRule="exact"/>
        <w:ind w:firstLine="720"/>
        <w:textAlignment w:val="auto"/>
        <w:rPr>
          <w:rFonts w:hint="default" w:ascii="Times New Roman" w:hAnsi="Times New Roman" w:eastAsia="仿宋_GB2312" w:cs="Times New Roman"/>
          <w:color w:val="auto"/>
          <w:sz w:val="32"/>
          <w:szCs w:val="32"/>
          <w:highlight w:val="none"/>
          <w:lang w:val="zh-CN"/>
        </w:rPr>
      </w:pPr>
      <w:r>
        <w:rPr>
          <w:rFonts w:hint="default" w:ascii="Times New Roman" w:hAnsi="Times New Roman" w:eastAsia="楷体_GB2312" w:cs="Times New Roman"/>
          <w:color w:val="auto"/>
          <w:sz w:val="32"/>
          <w:szCs w:val="32"/>
          <w:highlight w:val="none"/>
          <w:lang w:val="zh-CN"/>
        </w:rPr>
        <w:t>3．资金使用。</w:t>
      </w:r>
      <w:r>
        <w:rPr>
          <w:rFonts w:hint="default" w:ascii="Times New Roman" w:hAnsi="Times New Roman" w:eastAsia="仿宋_GB2312" w:cs="Times New Roman"/>
          <w:color w:val="auto"/>
          <w:sz w:val="32"/>
          <w:szCs w:val="32"/>
          <w:highlight w:val="none"/>
          <w:lang w:val="zh-CN"/>
        </w:rPr>
        <w:t>汇总统计截止评价时点该项目全省资金支出情况。在此基础上分项目大类或市（州）统计资金支出情况，并对资金使用的安全性、规范性及有效性进行重点分析，包括资金支付范围、支付标准、支付进度、支付依据等是否合规合法、是否与预算相符，并对自评中发现的相关问题进行分析说明。</w:t>
      </w:r>
    </w:p>
    <w:p>
      <w:pPr>
        <w:keepNext w:val="0"/>
        <w:keepLines w:val="0"/>
        <w:pageBreakBefore w:val="0"/>
        <w:kinsoku/>
        <w:wordWrap/>
        <w:overflowPunct/>
        <w:topLinePunct w:val="0"/>
        <w:autoSpaceDE/>
        <w:autoSpaceDN/>
        <w:bidi w:val="0"/>
        <w:adjustRightInd w:val="0"/>
        <w:snapToGrid w:val="0"/>
        <w:spacing w:line="576" w:lineRule="exact"/>
        <w:ind w:firstLine="720"/>
        <w:textAlignment w:val="auto"/>
        <w:rPr>
          <w:rFonts w:hint="default" w:ascii="Times New Roman" w:hAnsi="Times New Roman" w:eastAsia="楷体_GB2312" w:cs="Times New Roman"/>
          <w:b w:val="0"/>
          <w:bCs/>
          <w:color w:val="auto"/>
          <w:sz w:val="32"/>
          <w:szCs w:val="32"/>
          <w:highlight w:val="none"/>
          <w:lang w:val="zh-CN"/>
        </w:rPr>
      </w:pPr>
      <w:r>
        <w:rPr>
          <w:rFonts w:hint="default" w:ascii="Times New Roman" w:hAnsi="Times New Roman" w:eastAsia="楷体_GB2312" w:cs="Times New Roman"/>
          <w:b w:val="0"/>
          <w:bCs/>
          <w:color w:val="auto"/>
          <w:sz w:val="32"/>
          <w:szCs w:val="32"/>
          <w:highlight w:val="none"/>
          <w:lang w:val="zh-CN"/>
        </w:rPr>
        <w:t>（三）项目财务管理情况。</w:t>
      </w:r>
    </w:p>
    <w:p>
      <w:pPr>
        <w:keepNext w:val="0"/>
        <w:keepLines w:val="0"/>
        <w:pageBreakBefore w:val="0"/>
        <w:kinsoku/>
        <w:wordWrap/>
        <w:overflowPunct/>
        <w:topLinePunct w:val="0"/>
        <w:autoSpaceDE/>
        <w:autoSpaceDN/>
        <w:bidi w:val="0"/>
        <w:adjustRightInd w:val="0"/>
        <w:snapToGrid w:val="0"/>
        <w:spacing w:line="576" w:lineRule="exact"/>
        <w:ind w:firstLine="720"/>
        <w:textAlignment w:val="auto"/>
        <w:rPr>
          <w:rFonts w:hint="default" w:ascii="Times New Roman" w:hAnsi="Times New Roman" w:eastAsia="仿宋_GB2312" w:cs="Times New Roman"/>
          <w:color w:val="auto"/>
          <w:sz w:val="32"/>
          <w:szCs w:val="32"/>
          <w:highlight w:val="none"/>
          <w:lang w:val="zh-CN"/>
        </w:rPr>
      </w:pPr>
      <w:r>
        <w:rPr>
          <w:rFonts w:hint="default" w:ascii="Times New Roman" w:hAnsi="Times New Roman" w:eastAsia="仿宋_GB2312" w:cs="Times New Roman"/>
          <w:color w:val="auto"/>
          <w:sz w:val="32"/>
          <w:szCs w:val="32"/>
          <w:highlight w:val="none"/>
          <w:lang w:val="zh-CN"/>
        </w:rPr>
        <w:t>总体评价各项目实施单位财务管理制度是否健全，是否严格执行财务管理制度，账务处理是否及时，会计核算是否规范等。</w:t>
      </w:r>
    </w:p>
    <w:p>
      <w:pPr>
        <w:keepNext w:val="0"/>
        <w:keepLines w:val="0"/>
        <w:pageBreakBefore w:val="0"/>
        <w:kinsoku/>
        <w:wordWrap/>
        <w:overflowPunct/>
        <w:topLinePunct w:val="0"/>
        <w:autoSpaceDE/>
        <w:autoSpaceDN/>
        <w:bidi w:val="0"/>
        <w:adjustRightInd w:val="0"/>
        <w:snapToGrid w:val="0"/>
        <w:spacing w:line="576" w:lineRule="exact"/>
        <w:ind w:firstLine="72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三、项目实施及管理情况</w:t>
      </w:r>
    </w:p>
    <w:p>
      <w:pPr>
        <w:keepNext w:val="0"/>
        <w:keepLines w:val="0"/>
        <w:pageBreakBefore w:val="0"/>
        <w:kinsoku/>
        <w:wordWrap/>
        <w:overflowPunct/>
        <w:topLinePunct w:val="0"/>
        <w:autoSpaceDE/>
        <w:autoSpaceDN/>
        <w:bidi w:val="0"/>
        <w:adjustRightInd w:val="0"/>
        <w:snapToGrid w:val="0"/>
        <w:spacing w:line="576" w:lineRule="exact"/>
        <w:ind w:firstLine="720"/>
        <w:textAlignment w:val="auto"/>
        <w:rPr>
          <w:rFonts w:hint="default" w:ascii="Times New Roman" w:hAnsi="Times New Roman" w:eastAsia="仿宋_GB2312" w:cs="Times New Roman"/>
          <w:color w:val="auto"/>
          <w:sz w:val="32"/>
          <w:szCs w:val="32"/>
          <w:highlight w:val="none"/>
          <w:lang w:val="zh-CN"/>
        </w:rPr>
      </w:pPr>
      <w:r>
        <w:rPr>
          <w:rFonts w:hint="default" w:ascii="Times New Roman" w:hAnsi="Times New Roman" w:eastAsia="仿宋_GB2312" w:cs="Times New Roman"/>
          <w:color w:val="auto"/>
          <w:sz w:val="32"/>
          <w:szCs w:val="32"/>
          <w:highlight w:val="none"/>
          <w:lang w:val="zh-CN"/>
        </w:rPr>
        <w:t>结合项目组织实施管理办法，重点围绕以下内容进行分析评价，并对自评中发现的问题分析说明。</w:t>
      </w:r>
    </w:p>
    <w:p>
      <w:pPr>
        <w:keepNext w:val="0"/>
        <w:keepLines w:val="0"/>
        <w:pageBreakBefore w:val="0"/>
        <w:kinsoku/>
        <w:wordWrap/>
        <w:overflowPunct/>
        <w:topLinePunct w:val="0"/>
        <w:autoSpaceDE/>
        <w:autoSpaceDN/>
        <w:bidi w:val="0"/>
        <w:adjustRightInd w:val="0"/>
        <w:snapToGrid w:val="0"/>
        <w:spacing w:line="576" w:lineRule="exact"/>
        <w:ind w:firstLine="720"/>
        <w:textAlignment w:val="auto"/>
        <w:rPr>
          <w:rFonts w:hint="default" w:ascii="Times New Roman" w:hAnsi="Times New Roman" w:eastAsia="楷体_GB2312" w:cs="Times New Roman"/>
          <w:b w:val="0"/>
          <w:bCs/>
          <w:color w:val="auto"/>
          <w:sz w:val="32"/>
          <w:szCs w:val="32"/>
          <w:highlight w:val="none"/>
          <w:lang w:val="zh-CN"/>
        </w:rPr>
      </w:pPr>
      <w:r>
        <w:rPr>
          <w:rFonts w:hint="default" w:ascii="Times New Roman" w:hAnsi="Times New Roman" w:eastAsia="楷体_GB2312" w:cs="Times New Roman"/>
          <w:b w:val="0"/>
          <w:bCs/>
          <w:color w:val="auto"/>
          <w:sz w:val="32"/>
          <w:szCs w:val="32"/>
          <w:highlight w:val="none"/>
          <w:lang w:val="zh-CN"/>
        </w:rPr>
        <w:t>（一）项目组织架构及实施流程。</w:t>
      </w:r>
    </w:p>
    <w:p>
      <w:pPr>
        <w:keepNext w:val="0"/>
        <w:keepLines w:val="0"/>
        <w:pageBreakBefore w:val="0"/>
        <w:kinsoku/>
        <w:wordWrap/>
        <w:overflowPunct/>
        <w:topLinePunct w:val="0"/>
        <w:autoSpaceDE/>
        <w:autoSpaceDN/>
        <w:bidi w:val="0"/>
        <w:adjustRightInd w:val="0"/>
        <w:snapToGrid w:val="0"/>
        <w:spacing w:line="576" w:lineRule="exact"/>
        <w:ind w:firstLine="720"/>
        <w:textAlignment w:val="auto"/>
        <w:rPr>
          <w:rFonts w:hint="default" w:ascii="Times New Roman" w:hAnsi="Times New Roman" w:eastAsia="仿宋_GB2312" w:cs="Times New Roman"/>
          <w:color w:val="auto"/>
          <w:sz w:val="32"/>
          <w:szCs w:val="32"/>
          <w:highlight w:val="none"/>
          <w:lang w:val="zh-CN"/>
        </w:rPr>
      </w:pPr>
      <w:r>
        <w:rPr>
          <w:rFonts w:hint="default" w:ascii="Times New Roman" w:hAnsi="Times New Roman" w:eastAsia="楷体_GB2312" w:cs="Times New Roman"/>
          <w:b w:val="0"/>
          <w:bCs/>
          <w:color w:val="auto"/>
          <w:sz w:val="32"/>
          <w:szCs w:val="32"/>
          <w:highlight w:val="none"/>
          <w:lang w:val="zh-CN"/>
        </w:rPr>
        <w:t>（二）项目管理情况。</w:t>
      </w:r>
      <w:r>
        <w:rPr>
          <w:rFonts w:hint="default" w:ascii="Times New Roman" w:hAnsi="Times New Roman" w:eastAsia="仿宋_GB2312" w:cs="Times New Roman"/>
          <w:color w:val="auto"/>
          <w:sz w:val="32"/>
          <w:szCs w:val="32"/>
          <w:highlight w:val="none"/>
          <w:lang w:val="zh-CN"/>
        </w:rPr>
        <w:t>结合项目特点，总体评价各项目实施单位执行相关法律法规及项目管理制度等情况，如招投标、政府采购、项目公示制等相关规定。</w:t>
      </w:r>
    </w:p>
    <w:p>
      <w:pPr>
        <w:keepNext w:val="0"/>
        <w:keepLines w:val="0"/>
        <w:pageBreakBefore w:val="0"/>
        <w:kinsoku/>
        <w:wordWrap/>
        <w:overflowPunct/>
        <w:topLinePunct w:val="0"/>
        <w:autoSpaceDE/>
        <w:autoSpaceDN/>
        <w:bidi w:val="0"/>
        <w:adjustRightInd w:val="0"/>
        <w:snapToGrid w:val="0"/>
        <w:spacing w:line="576" w:lineRule="exact"/>
        <w:ind w:firstLine="720"/>
        <w:textAlignment w:val="auto"/>
        <w:rPr>
          <w:rFonts w:hint="default" w:ascii="Times New Roman" w:hAnsi="Times New Roman" w:eastAsia="仿宋_GB2312" w:cs="Times New Roman"/>
          <w:color w:val="auto"/>
          <w:sz w:val="32"/>
          <w:szCs w:val="32"/>
          <w:highlight w:val="none"/>
          <w:lang w:val="zh-CN"/>
        </w:rPr>
      </w:pPr>
      <w:r>
        <w:rPr>
          <w:rFonts w:hint="default" w:ascii="Times New Roman" w:hAnsi="Times New Roman" w:eastAsia="楷体_GB2312" w:cs="Times New Roman"/>
          <w:b w:val="0"/>
          <w:bCs/>
          <w:color w:val="auto"/>
          <w:sz w:val="32"/>
          <w:szCs w:val="32"/>
          <w:highlight w:val="none"/>
          <w:lang w:val="zh-CN"/>
        </w:rPr>
        <w:t>（三）项目监管情况。</w:t>
      </w:r>
      <w:r>
        <w:rPr>
          <w:rFonts w:hint="default" w:ascii="Times New Roman" w:hAnsi="Times New Roman" w:eastAsia="仿宋_GB2312" w:cs="Times New Roman"/>
          <w:color w:val="auto"/>
          <w:sz w:val="32"/>
          <w:szCs w:val="32"/>
          <w:highlight w:val="none"/>
          <w:lang w:val="zh-CN"/>
        </w:rPr>
        <w:t>说明项目主管部门为加强项目管理所采取的监管手段、监管程序、监管工作开展情况及实现的效果等。</w:t>
      </w:r>
    </w:p>
    <w:p>
      <w:pPr>
        <w:keepNext w:val="0"/>
        <w:keepLines w:val="0"/>
        <w:pageBreakBefore w:val="0"/>
        <w:kinsoku/>
        <w:wordWrap/>
        <w:overflowPunct/>
        <w:topLinePunct w:val="0"/>
        <w:autoSpaceDE/>
        <w:autoSpaceDN/>
        <w:bidi w:val="0"/>
        <w:adjustRightInd w:val="0"/>
        <w:snapToGrid w:val="0"/>
        <w:spacing w:line="576" w:lineRule="exact"/>
        <w:ind w:firstLine="720"/>
        <w:textAlignment w:val="auto"/>
        <w:rPr>
          <w:rFonts w:hint="default" w:ascii="Times New Roman" w:hAnsi="Times New Roman" w:eastAsia="仿宋_GB2312" w:cs="Times New Roman"/>
          <w:color w:val="auto"/>
          <w:sz w:val="32"/>
          <w:szCs w:val="32"/>
          <w:highlight w:val="none"/>
          <w:lang w:val="zh-CN"/>
        </w:rPr>
      </w:pPr>
      <w:r>
        <w:rPr>
          <w:rFonts w:hint="default" w:ascii="Times New Roman" w:hAnsi="Times New Roman" w:eastAsia="黑体" w:cs="Times New Roman"/>
          <w:color w:val="auto"/>
          <w:sz w:val="32"/>
          <w:szCs w:val="32"/>
          <w:highlight w:val="none"/>
        </w:rPr>
        <w:t>四、项目绩效情况</w:t>
      </w:r>
      <w:r>
        <w:rPr>
          <w:rFonts w:hint="default" w:ascii="Times New Roman" w:hAnsi="Times New Roman" w:eastAsia="仿宋_GB2312" w:cs="Times New Roman"/>
          <w:color w:val="auto"/>
          <w:sz w:val="32"/>
          <w:szCs w:val="32"/>
          <w:highlight w:val="none"/>
          <w:lang w:val="zh-CN"/>
        </w:rPr>
        <w:tab/>
      </w:r>
    </w:p>
    <w:p>
      <w:pPr>
        <w:keepNext w:val="0"/>
        <w:keepLines w:val="0"/>
        <w:pageBreakBefore w:val="0"/>
        <w:kinsoku/>
        <w:wordWrap/>
        <w:overflowPunct/>
        <w:topLinePunct w:val="0"/>
        <w:autoSpaceDE/>
        <w:autoSpaceDN/>
        <w:bidi w:val="0"/>
        <w:adjustRightInd w:val="0"/>
        <w:snapToGrid w:val="0"/>
        <w:spacing w:line="576" w:lineRule="exact"/>
        <w:ind w:firstLine="720"/>
        <w:textAlignment w:val="auto"/>
        <w:rPr>
          <w:rFonts w:hint="default" w:ascii="Times New Roman" w:hAnsi="Times New Roman" w:eastAsia="楷体_GB2312" w:cs="Times New Roman"/>
          <w:b w:val="0"/>
          <w:bCs/>
          <w:color w:val="auto"/>
          <w:sz w:val="32"/>
          <w:szCs w:val="32"/>
          <w:highlight w:val="none"/>
          <w:lang w:val="zh-CN"/>
        </w:rPr>
      </w:pPr>
      <w:r>
        <w:rPr>
          <w:rFonts w:hint="default" w:ascii="Times New Roman" w:hAnsi="Times New Roman" w:eastAsia="楷体_GB2312" w:cs="Times New Roman"/>
          <w:b w:val="0"/>
          <w:bCs/>
          <w:color w:val="auto"/>
          <w:sz w:val="32"/>
          <w:szCs w:val="32"/>
          <w:highlight w:val="none"/>
          <w:lang w:val="zh-CN"/>
        </w:rPr>
        <w:t>（一）项目完成情况。</w:t>
      </w:r>
    </w:p>
    <w:p>
      <w:pPr>
        <w:keepNext w:val="0"/>
        <w:keepLines w:val="0"/>
        <w:pageBreakBefore w:val="0"/>
        <w:kinsoku/>
        <w:wordWrap/>
        <w:overflowPunct/>
        <w:topLinePunct w:val="0"/>
        <w:autoSpaceDE/>
        <w:autoSpaceDN/>
        <w:bidi w:val="0"/>
        <w:adjustRightInd w:val="0"/>
        <w:snapToGrid w:val="0"/>
        <w:spacing w:line="576" w:lineRule="exact"/>
        <w:ind w:firstLine="720"/>
        <w:textAlignment w:val="auto"/>
        <w:rPr>
          <w:rFonts w:hint="default" w:ascii="Times New Roman" w:hAnsi="Times New Roman" w:eastAsia="楷体_GB2312" w:cs="Times New Roman"/>
          <w:b/>
          <w:color w:val="auto"/>
          <w:sz w:val="32"/>
          <w:szCs w:val="32"/>
          <w:highlight w:val="none"/>
          <w:lang w:val="zh-CN"/>
        </w:rPr>
      </w:pPr>
      <w:r>
        <w:rPr>
          <w:rFonts w:hint="default" w:ascii="Times New Roman" w:hAnsi="Times New Roman" w:eastAsia="仿宋_GB2312" w:cs="Times New Roman"/>
          <w:color w:val="auto"/>
          <w:sz w:val="32"/>
          <w:szCs w:val="32"/>
          <w:highlight w:val="none"/>
          <w:lang w:val="zh-CN"/>
        </w:rPr>
        <w:t>包括项目完成数量、质量、时效、成本等情况，资金结余情况，违规记录等，对照项目计划完成目标，对截止评价时点的任务量完成、质量标准、进度计划、成本控制目标的实现程度进行评价，并进行分析说明。</w:t>
      </w:r>
    </w:p>
    <w:p>
      <w:pPr>
        <w:keepNext w:val="0"/>
        <w:keepLines w:val="0"/>
        <w:pageBreakBefore w:val="0"/>
        <w:kinsoku/>
        <w:wordWrap/>
        <w:overflowPunct/>
        <w:topLinePunct w:val="0"/>
        <w:autoSpaceDE/>
        <w:autoSpaceDN/>
        <w:bidi w:val="0"/>
        <w:adjustRightInd w:val="0"/>
        <w:snapToGrid w:val="0"/>
        <w:spacing w:line="576" w:lineRule="exact"/>
        <w:ind w:firstLine="720"/>
        <w:textAlignment w:val="auto"/>
        <w:rPr>
          <w:rFonts w:hint="default" w:ascii="Times New Roman" w:hAnsi="Times New Roman" w:eastAsia="楷体_GB2312" w:cs="Times New Roman"/>
          <w:b w:val="0"/>
          <w:bCs/>
          <w:color w:val="auto"/>
          <w:sz w:val="32"/>
          <w:szCs w:val="32"/>
          <w:highlight w:val="none"/>
          <w:lang w:val="zh-CN"/>
        </w:rPr>
      </w:pPr>
      <w:r>
        <w:rPr>
          <w:rFonts w:hint="default" w:ascii="Times New Roman" w:hAnsi="Times New Roman" w:eastAsia="楷体_GB2312" w:cs="Times New Roman"/>
          <w:b w:val="0"/>
          <w:bCs/>
          <w:color w:val="auto"/>
          <w:sz w:val="32"/>
          <w:szCs w:val="32"/>
          <w:highlight w:val="none"/>
          <w:lang w:val="zh-CN"/>
        </w:rPr>
        <w:t>（二）项目效益情况。</w:t>
      </w:r>
    </w:p>
    <w:p>
      <w:pPr>
        <w:keepNext w:val="0"/>
        <w:keepLines w:val="0"/>
        <w:pageBreakBefore w:val="0"/>
        <w:kinsoku/>
        <w:wordWrap/>
        <w:overflowPunct/>
        <w:topLinePunct w:val="0"/>
        <w:autoSpaceDE/>
        <w:autoSpaceDN/>
        <w:bidi w:val="0"/>
        <w:adjustRightInd w:val="0"/>
        <w:snapToGrid w:val="0"/>
        <w:spacing w:line="576" w:lineRule="exact"/>
        <w:ind w:firstLine="720"/>
        <w:textAlignment w:val="auto"/>
        <w:rPr>
          <w:rFonts w:hint="default" w:ascii="Times New Roman" w:hAnsi="Times New Roman" w:eastAsia="仿宋_GB2312" w:cs="Times New Roman"/>
          <w:color w:val="auto"/>
          <w:sz w:val="32"/>
          <w:szCs w:val="32"/>
          <w:highlight w:val="none"/>
          <w:lang w:val="zh-CN"/>
        </w:rPr>
      </w:pPr>
      <w:r>
        <w:rPr>
          <w:rFonts w:hint="default" w:ascii="Times New Roman" w:hAnsi="Times New Roman" w:eastAsia="仿宋_GB2312" w:cs="Times New Roman"/>
          <w:color w:val="auto"/>
          <w:sz w:val="32"/>
          <w:szCs w:val="32"/>
          <w:highlight w:val="none"/>
          <w:lang w:val="zh-CN"/>
        </w:rPr>
        <w:t>从项目经济效益、社会效益、生态效益、可持续效益以及服务对象满意度等方面对项目效益进行全面分析评价。</w:t>
      </w:r>
    </w:p>
    <w:p>
      <w:pPr>
        <w:keepNext w:val="0"/>
        <w:keepLines w:val="0"/>
        <w:pageBreakBefore w:val="0"/>
        <w:kinsoku/>
        <w:wordWrap/>
        <w:overflowPunct/>
        <w:topLinePunct w:val="0"/>
        <w:autoSpaceDE/>
        <w:autoSpaceDN/>
        <w:bidi w:val="0"/>
        <w:adjustRightInd w:val="0"/>
        <w:snapToGrid w:val="0"/>
        <w:spacing w:line="576" w:lineRule="exact"/>
        <w:ind w:firstLine="72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五、评价结论及建议</w:t>
      </w:r>
    </w:p>
    <w:p>
      <w:pPr>
        <w:keepNext w:val="0"/>
        <w:keepLines w:val="0"/>
        <w:pageBreakBefore w:val="0"/>
        <w:kinsoku/>
        <w:wordWrap/>
        <w:overflowPunct/>
        <w:topLinePunct w:val="0"/>
        <w:autoSpaceDE/>
        <w:autoSpaceDN/>
        <w:bidi w:val="0"/>
        <w:adjustRightInd w:val="0"/>
        <w:snapToGrid w:val="0"/>
        <w:spacing w:line="576" w:lineRule="exact"/>
        <w:ind w:firstLine="720"/>
        <w:textAlignment w:val="auto"/>
        <w:rPr>
          <w:rFonts w:hint="default" w:ascii="Times New Roman" w:hAnsi="Times New Roman" w:eastAsia="楷体_GB2312" w:cs="Times New Roman"/>
          <w:b w:val="0"/>
          <w:bCs/>
          <w:color w:val="auto"/>
          <w:sz w:val="32"/>
          <w:szCs w:val="32"/>
          <w:highlight w:val="none"/>
          <w:lang w:val="zh-CN"/>
        </w:rPr>
      </w:pPr>
      <w:r>
        <w:rPr>
          <w:rFonts w:hint="default" w:ascii="Times New Roman" w:hAnsi="Times New Roman" w:eastAsia="楷体_GB2312" w:cs="Times New Roman"/>
          <w:b w:val="0"/>
          <w:bCs/>
          <w:color w:val="auto"/>
          <w:sz w:val="32"/>
          <w:szCs w:val="32"/>
          <w:highlight w:val="none"/>
          <w:lang w:val="zh-CN"/>
        </w:rPr>
        <w:t>（一）评价结论。</w:t>
      </w:r>
    </w:p>
    <w:p>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color w:val="auto"/>
          <w:sz w:val="32"/>
          <w:szCs w:val="32"/>
          <w:highlight w:val="none"/>
          <w:bdr w:val="single" w:color="auto" w:sz="4" w:space="0"/>
          <w:lang w:val="zh-CN"/>
        </w:rPr>
      </w:pPr>
      <w:r>
        <w:rPr>
          <w:rFonts w:hint="default" w:ascii="Times New Roman" w:hAnsi="Times New Roman" w:eastAsia="仿宋_GB2312" w:cs="Times New Roman"/>
          <w:color w:val="auto"/>
          <w:sz w:val="32"/>
          <w:szCs w:val="32"/>
          <w:highlight w:val="none"/>
          <w:lang w:val="zh-CN"/>
        </w:rPr>
        <w:t>结合项目自身特点、评价重点及管理办法等要求，围绕专项项目支出绩效评价指标体系对项目进行总体评价。</w:t>
      </w:r>
    </w:p>
    <w:p>
      <w:pPr>
        <w:keepNext w:val="0"/>
        <w:keepLines w:val="0"/>
        <w:pageBreakBefore w:val="0"/>
        <w:kinsoku/>
        <w:wordWrap/>
        <w:overflowPunct/>
        <w:topLinePunct w:val="0"/>
        <w:autoSpaceDE/>
        <w:autoSpaceDN/>
        <w:bidi w:val="0"/>
        <w:adjustRightInd w:val="0"/>
        <w:snapToGrid w:val="0"/>
        <w:spacing w:line="576" w:lineRule="exact"/>
        <w:ind w:firstLine="720"/>
        <w:textAlignment w:val="auto"/>
        <w:rPr>
          <w:rFonts w:hint="default" w:ascii="Times New Roman" w:hAnsi="Times New Roman" w:eastAsia="楷体_GB2312" w:cs="Times New Roman"/>
          <w:b w:val="0"/>
          <w:bCs/>
          <w:color w:val="auto"/>
          <w:sz w:val="32"/>
          <w:szCs w:val="32"/>
          <w:highlight w:val="none"/>
          <w:lang w:val="zh-CN"/>
        </w:rPr>
      </w:pPr>
      <w:r>
        <w:rPr>
          <w:rFonts w:hint="default" w:ascii="Times New Roman" w:hAnsi="Times New Roman" w:eastAsia="楷体_GB2312" w:cs="Times New Roman"/>
          <w:b w:val="0"/>
          <w:bCs/>
          <w:color w:val="auto"/>
          <w:sz w:val="32"/>
          <w:szCs w:val="32"/>
          <w:highlight w:val="none"/>
          <w:lang w:val="zh-CN"/>
        </w:rPr>
        <w:t>（二）存在的问题。</w:t>
      </w:r>
    </w:p>
    <w:p>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color w:val="auto"/>
          <w:sz w:val="32"/>
          <w:szCs w:val="32"/>
          <w:highlight w:val="none"/>
          <w:lang w:val="zh-CN"/>
        </w:rPr>
      </w:pPr>
      <w:r>
        <w:rPr>
          <w:rFonts w:hint="default" w:ascii="Times New Roman" w:hAnsi="Times New Roman" w:eastAsia="仿宋_GB2312" w:cs="Times New Roman"/>
          <w:color w:val="auto"/>
          <w:sz w:val="32"/>
          <w:szCs w:val="32"/>
          <w:highlight w:val="none"/>
          <w:lang w:val="zh-CN"/>
        </w:rPr>
        <w:t>结合自评情况，分析存在的问题及原因。</w:t>
      </w:r>
      <w:r>
        <w:rPr>
          <w:rFonts w:hint="default" w:ascii="Times New Roman" w:hAnsi="Times New Roman" w:eastAsia="仿宋_GB2312" w:cs="Times New Roman"/>
          <w:color w:val="auto"/>
          <w:sz w:val="32"/>
          <w:szCs w:val="32"/>
          <w:highlight w:val="none"/>
          <w:lang w:val="zh-CN"/>
        </w:rPr>
        <w:tab/>
      </w:r>
    </w:p>
    <w:p>
      <w:pPr>
        <w:keepNext w:val="0"/>
        <w:keepLines w:val="0"/>
        <w:pageBreakBefore w:val="0"/>
        <w:kinsoku/>
        <w:wordWrap/>
        <w:overflowPunct/>
        <w:topLinePunct w:val="0"/>
        <w:autoSpaceDE/>
        <w:autoSpaceDN/>
        <w:bidi w:val="0"/>
        <w:adjustRightInd w:val="0"/>
        <w:snapToGrid w:val="0"/>
        <w:spacing w:line="576" w:lineRule="exact"/>
        <w:ind w:firstLine="720"/>
        <w:textAlignment w:val="auto"/>
        <w:rPr>
          <w:rFonts w:hint="default" w:ascii="Times New Roman" w:hAnsi="Times New Roman" w:eastAsia="楷体_GB2312" w:cs="Times New Roman"/>
          <w:b w:val="0"/>
          <w:bCs/>
          <w:color w:val="auto"/>
          <w:sz w:val="32"/>
          <w:szCs w:val="32"/>
          <w:highlight w:val="none"/>
          <w:lang w:val="zh-CN"/>
        </w:rPr>
      </w:pPr>
      <w:r>
        <w:rPr>
          <w:rFonts w:hint="default" w:ascii="Times New Roman" w:hAnsi="Times New Roman" w:eastAsia="楷体_GB2312" w:cs="Times New Roman"/>
          <w:b w:val="0"/>
          <w:bCs/>
          <w:color w:val="auto"/>
          <w:sz w:val="32"/>
          <w:szCs w:val="32"/>
          <w:highlight w:val="none"/>
          <w:lang w:val="zh-CN"/>
        </w:rPr>
        <w:t>（三）相关建议。</w:t>
      </w:r>
    </w:p>
    <w:p>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color w:val="auto"/>
          <w:sz w:val="32"/>
          <w:szCs w:val="32"/>
          <w:highlight w:val="none"/>
          <w:lang w:val="zh-CN"/>
        </w:rPr>
      </w:pPr>
      <w:r>
        <w:rPr>
          <w:rFonts w:hint="default" w:ascii="Times New Roman" w:hAnsi="Times New Roman" w:eastAsia="仿宋_GB2312" w:cs="Times New Roman"/>
          <w:color w:val="auto"/>
          <w:sz w:val="32"/>
          <w:szCs w:val="32"/>
          <w:highlight w:val="none"/>
          <w:lang w:val="zh-CN"/>
        </w:rPr>
        <w:t>针对项目自评中发现的问题，提出下一步改进完善的意见及有关政策性建议。</w:t>
      </w:r>
    </w:p>
    <w:p>
      <w:pPr>
        <w:pStyle w:val="2"/>
        <w:pageBreakBefore w:val="0"/>
        <w:kinsoku/>
        <w:wordWrap/>
        <w:overflowPunct/>
        <w:topLinePunct w:val="0"/>
        <w:bidi w:val="0"/>
        <w:spacing w:line="576" w:lineRule="exact"/>
        <w:rPr>
          <w:rFonts w:hint="default" w:ascii="Times New Roman" w:hAnsi="Times New Roman" w:cs="Times New Roman"/>
          <w:color w:val="auto"/>
          <w:highlight w:val="none"/>
          <w:lang w:val="zh-CN"/>
        </w:rPr>
      </w:pPr>
    </w:p>
    <w:p>
      <w:pPr>
        <w:pStyle w:val="2"/>
        <w:pageBreakBefore w:val="0"/>
        <w:kinsoku/>
        <w:wordWrap/>
        <w:overflowPunct/>
        <w:topLinePunct w:val="0"/>
        <w:bidi w:val="0"/>
        <w:spacing w:line="576" w:lineRule="exact"/>
        <w:rPr>
          <w:rFonts w:hint="default" w:ascii="Times New Roman" w:hAnsi="Times New Roman" w:cs="Times New Roman"/>
          <w:color w:val="auto"/>
          <w:highlight w:val="none"/>
          <w:lang w:val="zh-CN"/>
        </w:rPr>
      </w:pPr>
    </w:p>
    <w:p>
      <w:pPr>
        <w:pStyle w:val="2"/>
        <w:pageBreakBefore w:val="0"/>
        <w:kinsoku/>
        <w:wordWrap/>
        <w:overflowPunct/>
        <w:topLinePunct w:val="0"/>
        <w:bidi w:val="0"/>
        <w:spacing w:line="576" w:lineRule="exact"/>
        <w:rPr>
          <w:rFonts w:hint="default" w:ascii="Times New Roman" w:hAnsi="Times New Roman" w:cs="Times New Roman"/>
          <w:color w:val="auto"/>
          <w:highlight w:val="none"/>
          <w:lang w:val="zh-CN"/>
        </w:rPr>
      </w:pPr>
    </w:p>
    <w:p>
      <w:pPr>
        <w:pStyle w:val="2"/>
        <w:pageBreakBefore w:val="0"/>
        <w:kinsoku/>
        <w:wordWrap/>
        <w:overflowPunct/>
        <w:topLinePunct w:val="0"/>
        <w:bidi w:val="0"/>
        <w:spacing w:line="576" w:lineRule="exact"/>
        <w:rPr>
          <w:rFonts w:hint="default" w:ascii="Times New Roman" w:hAnsi="Times New Roman" w:cs="Times New Roman"/>
          <w:color w:val="auto"/>
          <w:highlight w:val="none"/>
          <w:lang w:val="zh-CN"/>
        </w:rPr>
      </w:pPr>
    </w:p>
    <w:p>
      <w:pPr>
        <w:pStyle w:val="2"/>
        <w:pageBreakBefore w:val="0"/>
        <w:kinsoku/>
        <w:wordWrap/>
        <w:overflowPunct/>
        <w:topLinePunct w:val="0"/>
        <w:bidi w:val="0"/>
        <w:spacing w:line="576" w:lineRule="exact"/>
        <w:rPr>
          <w:rFonts w:hint="default" w:ascii="Times New Roman" w:hAnsi="Times New Roman" w:cs="Times New Roman"/>
          <w:color w:val="auto"/>
          <w:highlight w:val="none"/>
          <w:lang w:val="zh-CN"/>
        </w:rPr>
      </w:pPr>
    </w:p>
    <w:p>
      <w:pPr>
        <w:pStyle w:val="2"/>
        <w:pageBreakBefore w:val="0"/>
        <w:kinsoku/>
        <w:wordWrap/>
        <w:overflowPunct/>
        <w:topLinePunct w:val="0"/>
        <w:bidi w:val="0"/>
        <w:spacing w:line="576" w:lineRule="exact"/>
        <w:rPr>
          <w:rFonts w:hint="default" w:ascii="Times New Roman" w:hAnsi="Times New Roman" w:cs="Times New Roman"/>
          <w:color w:val="auto"/>
          <w:highlight w:val="none"/>
          <w:lang w:val="zh-CN"/>
        </w:rPr>
      </w:pPr>
    </w:p>
    <w:p>
      <w:pPr>
        <w:pStyle w:val="2"/>
        <w:pageBreakBefore w:val="0"/>
        <w:kinsoku/>
        <w:wordWrap/>
        <w:overflowPunct/>
        <w:topLinePunct w:val="0"/>
        <w:bidi w:val="0"/>
        <w:spacing w:line="576" w:lineRule="exact"/>
        <w:rPr>
          <w:rFonts w:hint="default" w:ascii="Times New Roman" w:hAnsi="Times New Roman" w:cs="Times New Roman"/>
          <w:color w:val="auto"/>
          <w:highlight w:val="none"/>
          <w:lang w:val="zh-CN"/>
        </w:rPr>
      </w:pPr>
    </w:p>
    <w:p>
      <w:pPr>
        <w:pStyle w:val="2"/>
        <w:pageBreakBefore w:val="0"/>
        <w:kinsoku/>
        <w:wordWrap/>
        <w:overflowPunct/>
        <w:topLinePunct w:val="0"/>
        <w:bidi w:val="0"/>
        <w:spacing w:line="576" w:lineRule="exact"/>
        <w:rPr>
          <w:rFonts w:hint="default" w:ascii="Times New Roman" w:hAnsi="Times New Roman" w:cs="Times New Roman"/>
          <w:color w:val="auto"/>
          <w:highlight w:val="none"/>
          <w:lang w:val="zh-CN"/>
        </w:rPr>
      </w:pPr>
    </w:p>
    <w:p>
      <w:pPr>
        <w:pStyle w:val="2"/>
        <w:pageBreakBefore w:val="0"/>
        <w:kinsoku/>
        <w:wordWrap/>
        <w:overflowPunct/>
        <w:topLinePunct w:val="0"/>
        <w:bidi w:val="0"/>
        <w:spacing w:line="576" w:lineRule="exact"/>
        <w:rPr>
          <w:rFonts w:hint="default" w:ascii="Times New Roman" w:hAnsi="Times New Roman" w:cs="Times New Roman"/>
          <w:color w:val="auto"/>
          <w:highlight w:val="none"/>
          <w:lang w:val="zh-CN"/>
        </w:rPr>
      </w:pPr>
    </w:p>
    <w:p>
      <w:pPr>
        <w:pStyle w:val="2"/>
        <w:pageBreakBefore w:val="0"/>
        <w:kinsoku/>
        <w:wordWrap/>
        <w:overflowPunct/>
        <w:topLinePunct w:val="0"/>
        <w:bidi w:val="0"/>
        <w:spacing w:line="576" w:lineRule="exact"/>
        <w:rPr>
          <w:rFonts w:hint="default" w:ascii="Times New Roman" w:hAnsi="Times New Roman" w:cs="Times New Roman"/>
          <w:color w:val="auto"/>
          <w:highlight w:val="none"/>
          <w:lang w:val="zh-CN"/>
        </w:rPr>
      </w:pPr>
    </w:p>
    <w:p>
      <w:pPr>
        <w:pStyle w:val="2"/>
        <w:pageBreakBefore w:val="0"/>
        <w:kinsoku/>
        <w:wordWrap/>
        <w:overflowPunct/>
        <w:topLinePunct w:val="0"/>
        <w:bidi w:val="0"/>
        <w:spacing w:line="576" w:lineRule="exact"/>
        <w:rPr>
          <w:rFonts w:hint="default" w:ascii="Times New Roman" w:hAnsi="Times New Roman" w:cs="Times New Roman"/>
          <w:color w:val="auto"/>
          <w:highlight w:val="none"/>
          <w:lang w:val="zh-CN"/>
        </w:rPr>
      </w:pPr>
    </w:p>
    <w:p>
      <w:pPr>
        <w:pStyle w:val="2"/>
        <w:pageBreakBefore w:val="0"/>
        <w:kinsoku/>
        <w:wordWrap/>
        <w:overflowPunct/>
        <w:topLinePunct w:val="0"/>
        <w:bidi w:val="0"/>
        <w:spacing w:line="576" w:lineRule="exact"/>
        <w:rPr>
          <w:rFonts w:hint="default" w:ascii="Times New Roman" w:hAnsi="Times New Roman" w:cs="Times New Roman"/>
          <w:color w:val="auto"/>
          <w:highlight w:val="none"/>
          <w:lang w:val="zh-CN"/>
        </w:rPr>
      </w:pPr>
    </w:p>
    <w:p>
      <w:pPr>
        <w:pStyle w:val="2"/>
        <w:pageBreakBefore w:val="0"/>
        <w:kinsoku/>
        <w:wordWrap/>
        <w:overflowPunct/>
        <w:topLinePunct w:val="0"/>
        <w:bidi w:val="0"/>
        <w:spacing w:line="576" w:lineRule="exact"/>
        <w:rPr>
          <w:rFonts w:hint="default" w:ascii="Times New Roman" w:hAnsi="Times New Roman" w:cs="Times New Roman"/>
          <w:color w:val="auto"/>
          <w:highlight w:val="none"/>
          <w:lang w:val="zh-CN"/>
        </w:rPr>
      </w:pPr>
    </w:p>
    <w:p>
      <w:pPr>
        <w:pStyle w:val="2"/>
        <w:pageBreakBefore w:val="0"/>
        <w:kinsoku/>
        <w:wordWrap/>
        <w:overflowPunct/>
        <w:topLinePunct w:val="0"/>
        <w:bidi w:val="0"/>
        <w:spacing w:line="576" w:lineRule="exact"/>
        <w:rPr>
          <w:rFonts w:hint="default" w:ascii="Times New Roman" w:hAnsi="Times New Roman" w:cs="Times New Roman"/>
          <w:color w:val="auto"/>
          <w:highlight w:val="none"/>
          <w:lang w:val="zh-CN"/>
        </w:rPr>
      </w:pPr>
    </w:p>
    <w:p>
      <w:pPr>
        <w:pStyle w:val="2"/>
        <w:pageBreakBefore w:val="0"/>
        <w:kinsoku/>
        <w:wordWrap/>
        <w:overflowPunct/>
        <w:topLinePunct w:val="0"/>
        <w:bidi w:val="0"/>
        <w:spacing w:line="576" w:lineRule="exact"/>
        <w:rPr>
          <w:rFonts w:hint="default" w:ascii="Times New Roman" w:hAnsi="Times New Roman" w:cs="Times New Roman"/>
          <w:color w:val="auto"/>
          <w:highlight w:val="none"/>
          <w:lang w:val="zh-CN"/>
        </w:rPr>
      </w:pPr>
    </w:p>
    <w:p>
      <w:pPr>
        <w:pStyle w:val="2"/>
        <w:pageBreakBefore w:val="0"/>
        <w:kinsoku/>
        <w:wordWrap/>
        <w:overflowPunct/>
        <w:topLinePunct w:val="0"/>
        <w:bidi w:val="0"/>
        <w:spacing w:line="576" w:lineRule="exact"/>
        <w:rPr>
          <w:rFonts w:hint="default" w:ascii="Times New Roman" w:hAnsi="Times New Roman" w:cs="Times New Roman"/>
          <w:color w:val="auto"/>
          <w:highlight w:val="none"/>
          <w:lang w:val="zh-CN"/>
        </w:rPr>
      </w:pPr>
    </w:p>
    <w:p>
      <w:pPr>
        <w:pStyle w:val="2"/>
        <w:pageBreakBefore w:val="0"/>
        <w:kinsoku/>
        <w:wordWrap/>
        <w:overflowPunct/>
        <w:topLinePunct w:val="0"/>
        <w:bidi w:val="0"/>
        <w:spacing w:line="576" w:lineRule="exact"/>
        <w:rPr>
          <w:rFonts w:hint="default" w:ascii="Times New Roman" w:hAnsi="Times New Roman" w:cs="Times New Roman"/>
          <w:color w:val="auto"/>
          <w:highlight w:val="none"/>
          <w:lang w:val="zh-CN"/>
        </w:rPr>
      </w:pPr>
    </w:p>
    <w:p>
      <w:pPr>
        <w:pStyle w:val="2"/>
        <w:pageBreakBefore w:val="0"/>
        <w:kinsoku/>
        <w:wordWrap/>
        <w:overflowPunct/>
        <w:topLinePunct w:val="0"/>
        <w:bidi w:val="0"/>
        <w:spacing w:line="576" w:lineRule="exact"/>
        <w:rPr>
          <w:rFonts w:hint="default" w:ascii="Times New Roman" w:hAnsi="Times New Roman" w:cs="Times New Roman"/>
          <w:color w:val="auto"/>
          <w:highlight w:val="none"/>
          <w:lang w:val="zh-CN"/>
        </w:rPr>
      </w:pPr>
    </w:p>
    <w:tbl>
      <w:tblPr>
        <w:tblStyle w:val="12"/>
        <w:tblpPr w:leftFromText="180" w:rightFromText="180" w:vertAnchor="text" w:horzAnchor="page" w:tblpX="1281" w:tblpY="660"/>
        <w:tblOverlap w:val="never"/>
        <w:tblW w:w="9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77"/>
        <w:gridCol w:w="1142"/>
        <w:gridCol w:w="1635"/>
        <w:gridCol w:w="1189"/>
        <w:gridCol w:w="1224"/>
        <w:gridCol w:w="2410"/>
        <w:gridCol w:w="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bidi w:val="0"/>
              <w:spacing w:beforeAutospacing="0" w:line="576" w:lineRule="exact"/>
              <w:jc w:val="both"/>
              <w:textAlignment w:val="center"/>
              <w:rPr>
                <w:rFonts w:hint="default" w:ascii="Times New Roman" w:hAnsi="Times New Roman" w:eastAsia="宋体" w:cs="Times New Roman"/>
                <w:b/>
                <w:i w:val="0"/>
                <w:color w:val="auto"/>
                <w:sz w:val="32"/>
                <w:szCs w:val="32"/>
                <w:highlight w:val="none"/>
                <w:u w:val="none"/>
              </w:rPr>
            </w:pPr>
            <w:r>
              <w:rPr>
                <w:rFonts w:hint="default" w:ascii="Times New Roman" w:hAnsi="Times New Roman" w:eastAsia="宋体" w:cs="Times New Roman"/>
                <w:b/>
                <w:i w:val="0"/>
                <w:color w:val="auto"/>
                <w:sz w:val="32"/>
                <w:szCs w:val="32"/>
                <w:highlight w:val="none"/>
                <w:u w:val="none"/>
                <w:lang w:val="en-US" w:eastAsia="zh-CN"/>
              </w:rPr>
              <w:t>2021年100万元以上（含）特定目标类部门预算项目绩效目标自评</w:t>
            </w:r>
          </w:p>
        </w:tc>
        <w:tc>
          <w:tcPr>
            <w:tcW w:w="234"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bidi w:val="0"/>
              <w:spacing w:line="576" w:lineRule="exact"/>
              <w:jc w:val="center"/>
              <w:textAlignment w:val="center"/>
              <w:rPr>
                <w:rFonts w:hint="default" w:ascii="Times New Roman" w:hAnsi="Times New Roman" w:eastAsia="宋体" w:cs="Times New Roman"/>
                <w:b/>
                <w:i w:val="0"/>
                <w:color w:val="auto"/>
                <w:kern w:val="0"/>
                <w:sz w:val="32"/>
                <w:szCs w:val="3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hint="default" w:ascii="Times New Roman" w:hAnsi="Times New Roman" w:eastAsia="宋体" w:cs="Times New Roman"/>
                <w:i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实施单位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default" w:ascii="Times New Roman" w:hAnsi="Times New Roman" w:eastAsia="宋体" w:cs="Times New Roman"/>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项目预算</w:t>
            </w:r>
            <w:r>
              <w:rPr>
                <w:rFonts w:hint="default" w:ascii="Times New Roman" w:hAnsi="Times New Roman" w:eastAsia="宋体" w:cs="Times New Roman"/>
                <w:i w:val="0"/>
                <w:color w:val="auto"/>
                <w:kern w:val="0"/>
                <w:sz w:val="24"/>
                <w:szCs w:val="24"/>
                <w:highlight w:val="none"/>
                <w:u w:val="none"/>
                <w:lang w:val="en-US" w:eastAsia="zh-CN" w:bidi="ar"/>
              </w:rPr>
              <w:br w:type="textWrapping"/>
            </w:r>
            <w:r>
              <w:rPr>
                <w:rFonts w:hint="default" w:ascii="Times New Roman" w:hAnsi="Times New Roman" w:eastAsia="宋体" w:cs="Times New Roman"/>
                <w:i w:val="0"/>
                <w:color w:val="auto"/>
                <w:kern w:val="0"/>
                <w:sz w:val="24"/>
                <w:szCs w:val="24"/>
                <w:highlight w:val="none"/>
                <w:u w:val="none"/>
                <w:lang w:val="en-US" w:eastAsia="zh-CN" w:bidi="ar"/>
              </w:rPr>
              <w:t>执行情况</w:t>
            </w:r>
            <w:r>
              <w:rPr>
                <w:rFonts w:hint="default" w:ascii="Times New Roman" w:hAnsi="Times New Roman" w:eastAsia="宋体" w:cs="Times New Roman"/>
                <w:i w:val="0"/>
                <w:color w:val="auto"/>
                <w:kern w:val="0"/>
                <w:sz w:val="24"/>
                <w:szCs w:val="24"/>
                <w:highlight w:val="none"/>
                <w:u w:val="none"/>
                <w:lang w:val="en-US" w:eastAsia="zh-CN" w:bidi="ar"/>
              </w:rPr>
              <w:br w:type="textWrapping"/>
            </w:r>
            <w:r>
              <w:rPr>
                <w:rFonts w:hint="default" w:ascii="Times New Roman" w:hAnsi="Times New Roman" w:eastAsia="宋体" w:cs="Times New Roman"/>
                <w:i w:val="0"/>
                <w:color w:val="auto"/>
                <w:kern w:val="0"/>
                <w:sz w:val="24"/>
                <w:szCs w:val="24"/>
                <w:highlight w:val="none"/>
                <w:u w:val="none"/>
                <w:lang w:val="en-US" w:eastAsia="zh-CN" w:bidi="ar"/>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lef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left"/>
              <w:textAlignment w:val="center"/>
              <w:rPr>
                <w:rFonts w:hint="default" w:ascii="Times New Roman" w:hAnsi="Times New Roman" w:eastAsia="宋体" w:cs="Times New Roman"/>
                <w:i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lef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 xml:space="preserve"> 执行数：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right"/>
              <w:textAlignment w:val="center"/>
              <w:rPr>
                <w:rFonts w:hint="default" w:ascii="Times New Roman" w:hAnsi="Times New Roman" w:eastAsia="宋体" w:cs="Times New Roman"/>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234"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6" w:lineRule="exact"/>
              <w:jc w:val="center"/>
              <w:rPr>
                <w:rFonts w:hint="default" w:ascii="Times New Roman" w:hAnsi="Times New Roman" w:eastAsia="宋体" w:cs="Times New Roman"/>
                <w:i w:val="0"/>
                <w:color w:val="auto"/>
                <w:sz w:val="24"/>
                <w:szCs w:val="24"/>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left"/>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default" w:ascii="Times New Roman" w:hAnsi="Times New Roman" w:eastAsia="宋体" w:cs="Times New Roman"/>
                <w:i w:val="0"/>
                <w:color w:val="auto"/>
                <w:kern w:val="0"/>
                <w:sz w:val="24"/>
                <w:szCs w:val="24"/>
                <w:highlight w:val="none"/>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576" w:lineRule="exact"/>
              <w:jc w:val="lef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left"/>
              <w:textAlignment w:val="center"/>
              <w:rPr>
                <w:rFonts w:hint="default" w:ascii="Times New Roman" w:hAnsi="Times New Roman" w:eastAsia="宋体" w:cs="Times New Roman"/>
                <w:i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left"/>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default" w:ascii="Times New Roman" w:hAnsi="Times New Roman" w:eastAsia="宋体" w:cs="Times New Roman"/>
                <w:i w:val="0"/>
                <w:color w:val="auto"/>
                <w:kern w:val="0"/>
                <w:sz w:val="24"/>
                <w:szCs w:val="24"/>
                <w:highlight w:val="none"/>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576" w:lineRule="exact"/>
              <w:jc w:val="lef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财政拨款</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hint="default" w:ascii="Times New Roman" w:hAnsi="Times New Roman" w:eastAsia="宋体" w:cs="Times New Roman"/>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6" w:lineRule="exact"/>
              <w:jc w:val="center"/>
              <w:rPr>
                <w:rFonts w:hint="default" w:ascii="Times New Roman" w:hAnsi="Times New Roman" w:eastAsia="宋体" w:cs="Times New Roman"/>
                <w:i w:val="0"/>
                <w:color w:val="auto"/>
                <w:sz w:val="24"/>
                <w:szCs w:val="24"/>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lef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left"/>
              <w:textAlignment w:val="center"/>
              <w:rPr>
                <w:rFonts w:hint="default" w:ascii="Times New Roman" w:hAnsi="Times New Roman" w:eastAsia="宋体" w:cs="Times New Roman"/>
                <w:i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lef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其他资金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default" w:ascii="Times New Roman" w:hAnsi="Times New Roman" w:eastAsia="宋体" w:cs="Times New Roman"/>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default" w:ascii="Times New Roman" w:hAnsi="Times New Roman" w:eastAsia="宋体" w:cs="Times New Roman"/>
                <w:i w:val="0"/>
                <w:color w:val="auto"/>
                <w:kern w:val="0"/>
                <w:sz w:val="24"/>
                <w:szCs w:val="24"/>
                <w:highlight w:val="none"/>
                <w:u w:val="none"/>
                <w:lang w:val="en-US" w:eastAsia="zh-CN" w:bidi="ar"/>
              </w:rPr>
              <w:t>年度总体目标</w:t>
            </w:r>
          </w:p>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预期目标</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6" w:lineRule="exact"/>
              <w:jc w:val="center"/>
              <w:rPr>
                <w:rFonts w:hint="default" w:ascii="Times New Roman" w:hAnsi="Times New Roman" w:eastAsia="宋体" w:cs="Times New Roman"/>
                <w:i w:val="0"/>
                <w:color w:val="auto"/>
                <w:sz w:val="24"/>
                <w:szCs w:val="24"/>
                <w:highlight w:val="none"/>
                <w:u w:val="none"/>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576" w:lineRule="exact"/>
              <w:jc w:val="left"/>
              <w:textAlignment w:val="top"/>
              <w:rPr>
                <w:rFonts w:hint="default" w:ascii="Times New Roman" w:hAnsi="Times New Roman" w:eastAsia="宋体" w:cs="Times New Roman"/>
                <w:i w:val="0"/>
                <w:color w:val="auto"/>
                <w:sz w:val="24"/>
                <w:szCs w:val="24"/>
                <w:highlight w:val="none"/>
                <w:u w:val="none"/>
              </w:rPr>
            </w:pP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576" w:lineRule="exact"/>
              <w:jc w:val="left"/>
              <w:textAlignment w:val="top"/>
              <w:rPr>
                <w:rFonts w:hint="default" w:ascii="Times New Roman" w:hAnsi="Times New Roman" w:eastAsia="宋体" w:cs="Times New Roman"/>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234" w:type="dxa"/>
          <w:trHeight w:val="693" w:hRule="atLeast"/>
        </w:trPr>
        <w:tc>
          <w:tcPr>
            <w:tcW w:w="197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default" w:ascii="Times New Roman" w:hAnsi="Times New Roman" w:eastAsia="仿宋_GB2312" w:cs="Times New Roman"/>
                <w:i w:val="0"/>
                <w:color w:val="auto"/>
                <w:sz w:val="28"/>
                <w:szCs w:val="28"/>
                <w:highlight w:val="none"/>
                <w:u w:val="none"/>
              </w:rPr>
            </w:pPr>
            <w:r>
              <w:rPr>
                <w:rFonts w:hint="default" w:ascii="Times New Roman" w:hAnsi="Times New Roman" w:eastAsia="仿宋_GB2312" w:cs="Times New Roman"/>
                <w:i w:val="0"/>
                <w:color w:val="auto"/>
                <w:kern w:val="0"/>
                <w:sz w:val="28"/>
                <w:szCs w:val="28"/>
                <w:highlight w:val="none"/>
                <w:u w:val="none"/>
                <w:lang w:val="en-US" w:eastAsia="zh-CN" w:bidi="ar"/>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0"/>
                <w:sz w:val="28"/>
                <w:szCs w:val="28"/>
                <w:highlight w:val="none"/>
                <w:u w:val="none"/>
                <w:lang w:val="en-US" w:eastAsia="zh-CN" w:bidi="ar"/>
              </w:rPr>
            </w:pPr>
            <w:r>
              <w:rPr>
                <w:rFonts w:hint="default" w:ascii="Times New Roman" w:hAnsi="Times New Roman" w:eastAsia="仿宋_GB2312" w:cs="Times New Roman"/>
                <w:i w:val="0"/>
                <w:color w:val="auto"/>
                <w:kern w:val="0"/>
                <w:sz w:val="28"/>
                <w:szCs w:val="28"/>
                <w:highlight w:val="none"/>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sz w:val="28"/>
                <w:szCs w:val="28"/>
                <w:highlight w:val="none"/>
                <w:u w:val="none"/>
              </w:rPr>
            </w:pPr>
            <w:r>
              <w:rPr>
                <w:rFonts w:hint="default" w:ascii="Times New Roman" w:hAnsi="Times New Roman" w:eastAsia="仿宋_GB2312" w:cs="Times New Roman"/>
                <w:i w:val="0"/>
                <w:color w:val="auto"/>
                <w:kern w:val="0"/>
                <w:sz w:val="28"/>
                <w:szCs w:val="28"/>
                <w:highlight w:val="none"/>
                <w:u w:val="none"/>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0"/>
                <w:sz w:val="28"/>
                <w:szCs w:val="28"/>
                <w:highlight w:val="none"/>
                <w:u w:val="none"/>
                <w:lang w:val="en-US" w:eastAsia="zh-CN" w:bidi="ar"/>
              </w:rPr>
            </w:pPr>
            <w:r>
              <w:rPr>
                <w:rFonts w:hint="default" w:ascii="Times New Roman" w:hAnsi="Times New Roman" w:eastAsia="仿宋_GB2312" w:cs="Times New Roman"/>
                <w:i w:val="0"/>
                <w:color w:val="auto"/>
                <w:kern w:val="0"/>
                <w:sz w:val="28"/>
                <w:szCs w:val="28"/>
                <w:highlight w:val="none"/>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sz w:val="28"/>
                <w:szCs w:val="28"/>
                <w:highlight w:val="none"/>
                <w:u w:val="none"/>
              </w:rPr>
            </w:pPr>
            <w:r>
              <w:rPr>
                <w:rFonts w:hint="default" w:ascii="Times New Roman" w:hAnsi="Times New Roman" w:eastAsia="仿宋_GB2312" w:cs="Times New Roman"/>
                <w:i w:val="0"/>
                <w:color w:val="auto"/>
                <w:kern w:val="0"/>
                <w:sz w:val="28"/>
                <w:szCs w:val="28"/>
                <w:highlight w:val="none"/>
                <w:u w:val="none"/>
                <w:lang w:val="en-US" w:eastAsia="zh-CN"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0"/>
                <w:sz w:val="28"/>
                <w:szCs w:val="28"/>
                <w:highlight w:val="none"/>
                <w:u w:val="none"/>
                <w:lang w:val="en-US" w:eastAsia="zh-CN" w:bidi="ar"/>
              </w:rPr>
            </w:pPr>
            <w:r>
              <w:rPr>
                <w:rFonts w:hint="default" w:ascii="Times New Roman" w:hAnsi="Times New Roman" w:eastAsia="仿宋_GB2312" w:cs="Times New Roman"/>
                <w:i w:val="0"/>
                <w:color w:val="auto"/>
                <w:kern w:val="0"/>
                <w:sz w:val="28"/>
                <w:szCs w:val="28"/>
                <w:highlight w:val="none"/>
                <w:u w:val="none"/>
                <w:lang w:val="en-US" w:eastAsia="zh-CN" w:bidi="ar"/>
              </w:rPr>
              <w:t>三级</w:t>
            </w:r>
          </w:p>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sz w:val="28"/>
                <w:szCs w:val="28"/>
                <w:highlight w:val="none"/>
                <w:u w:val="none"/>
              </w:rPr>
            </w:pPr>
            <w:r>
              <w:rPr>
                <w:rFonts w:hint="default" w:ascii="Times New Roman" w:hAnsi="Times New Roman" w:eastAsia="仿宋_GB2312" w:cs="Times New Roman"/>
                <w:i w:val="0"/>
                <w:color w:val="auto"/>
                <w:kern w:val="0"/>
                <w:sz w:val="28"/>
                <w:szCs w:val="28"/>
                <w:highlight w:val="none"/>
                <w:u w:val="none"/>
                <w:lang w:val="en-US" w:eastAsia="zh-CN" w:bidi="ar"/>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sz w:val="28"/>
                <w:szCs w:val="28"/>
                <w:highlight w:val="none"/>
                <w:u w:val="none"/>
              </w:rPr>
            </w:pPr>
            <w:r>
              <w:rPr>
                <w:rFonts w:hint="default" w:ascii="Times New Roman" w:hAnsi="Times New Roman" w:eastAsia="仿宋_GB2312" w:cs="Times New Roman"/>
                <w:i w:val="0"/>
                <w:color w:val="auto"/>
                <w:kern w:val="0"/>
                <w:sz w:val="28"/>
                <w:szCs w:val="28"/>
                <w:highlight w:val="none"/>
                <w:u w:val="none"/>
                <w:lang w:val="en-US" w:eastAsia="zh-CN" w:bidi="ar"/>
              </w:rPr>
              <w:t>预期指标值</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sz w:val="28"/>
                <w:szCs w:val="28"/>
                <w:highlight w:val="none"/>
                <w:u w:val="none"/>
              </w:rPr>
            </w:pPr>
            <w:r>
              <w:rPr>
                <w:rFonts w:hint="default" w:ascii="Times New Roman" w:hAnsi="Times New Roman" w:eastAsia="仿宋_GB2312" w:cs="Times New Roman"/>
                <w:i w:val="0"/>
                <w:color w:val="auto"/>
                <w:kern w:val="0"/>
                <w:sz w:val="28"/>
                <w:szCs w:val="28"/>
                <w:highlight w:val="none"/>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6" w:lineRule="exact"/>
              <w:jc w:val="center"/>
              <w:rPr>
                <w:rFonts w:hint="default" w:ascii="Times New Roman" w:hAnsi="Times New Roman" w:eastAsia="仿宋_GB2312" w:cs="Times New Roman"/>
                <w:i w:val="0"/>
                <w:color w:val="auto"/>
                <w:sz w:val="28"/>
                <w:szCs w:val="28"/>
                <w:highlight w:val="none"/>
                <w:u w:val="none"/>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bottom"/>
              <w:rPr>
                <w:rFonts w:hint="default" w:ascii="Times New Roman" w:hAnsi="Times New Roman" w:eastAsia="仿宋_GB2312" w:cs="Times New Roman"/>
                <w:i w:val="0"/>
                <w:color w:val="auto"/>
                <w:kern w:val="0"/>
                <w:sz w:val="28"/>
                <w:szCs w:val="28"/>
                <w:highlight w:val="none"/>
                <w:u w:val="none"/>
                <w:lang w:val="en-US" w:eastAsia="zh-CN" w:bidi="ar"/>
              </w:rPr>
            </w:pPr>
            <w:r>
              <w:rPr>
                <w:rFonts w:hint="default" w:ascii="Times New Roman" w:hAnsi="Times New Roman" w:eastAsia="仿宋_GB2312" w:cs="Times New Roman"/>
                <w:i w:val="0"/>
                <w:color w:val="auto"/>
                <w:kern w:val="0"/>
                <w:sz w:val="28"/>
                <w:szCs w:val="28"/>
                <w:highlight w:val="none"/>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bottom"/>
              <w:rPr>
                <w:rFonts w:hint="default" w:ascii="Times New Roman" w:hAnsi="Times New Roman" w:eastAsia="仿宋_GB2312" w:cs="Times New Roman"/>
                <w:i w:val="0"/>
                <w:color w:val="auto"/>
                <w:sz w:val="28"/>
                <w:szCs w:val="28"/>
                <w:highlight w:val="none"/>
                <w:u w:val="none"/>
              </w:rPr>
            </w:pPr>
            <w:r>
              <w:rPr>
                <w:rFonts w:hint="default" w:ascii="Times New Roman" w:hAnsi="Times New Roman" w:eastAsia="仿宋_GB2312" w:cs="Times New Roman"/>
                <w:i w:val="0"/>
                <w:color w:val="auto"/>
                <w:kern w:val="0"/>
                <w:sz w:val="28"/>
                <w:szCs w:val="28"/>
                <w:highlight w:val="none"/>
                <w:u w:val="none"/>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bottom"/>
              <w:rPr>
                <w:rFonts w:hint="default" w:ascii="Times New Roman" w:hAnsi="Times New Roman" w:eastAsia="仿宋_GB2312" w:cs="Times New Roman"/>
                <w:i w:val="0"/>
                <w:color w:val="auto"/>
                <w:sz w:val="28"/>
                <w:szCs w:val="28"/>
                <w:highlight w:val="none"/>
                <w:u w:val="none"/>
              </w:rPr>
            </w:pPr>
            <w:r>
              <w:rPr>
                <w:rFonts w:hint="default" w:ascii="Times New Roman" w:hAnsi="Times New Roman" w:eastAsia="仿宋_GB2312" w:cs="Times New Roman"/>
                <w:i w:val="0"/>
                <w:color w:val="auto"/>
                <w:kern w:val="0"/>
                <w:sz w:val="28"/>
                <w:szCs w:val="28"/>
                <w:highlight w:val="none"/>
                <w:u w:val="none"/>
                <w:lang w:val="en-US" w:eastAsia="zh-CN" w:bidi="ar"/>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bottom"/>
              <w:rPr>
                <w:rFonts w:hint="default" w:ascii="Times New Roman" w:hAnsi="Times New Roman" w:eastAsia="仿宋_GB2312" w:cs="Times New Roman"/>
                <w:i w:val="0"/>
                <w:color w:val="auto"/>
                <w:sz w:val="28"/>
                <w:szCs w:val="28"/>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bottom"/>
              <w:rPr>
                <w:rFonts w:hint="default" w:ascii="Times New Roman" w:hAnsi="Times New Roman" w:eastAsia="仿宋_GB2312" w:cs="Times New Roman"/>
                <w:i w:val="0"/>
                <w:color w:val="auto"/>
                <w:sz w:val="28"/>
                <w:szCs w:val="28"/>
                <w:highlight w:val="none"/>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bottom"/>
              <w:rPr>
                <w:rFonts w:hint="default" w:ascii="Times New Roman" w:hAnsi="Times New Roman" w:eastAsia="仿宋_GB2312" w:cs="Times New Roman"/>
                <w:i w:val="0"/>
                <w:color w:val="auto"/>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6" w:lineRule="exact"/>
              <w:jc w:val="center"/>
              <w:rPr>
                <w:rFonts w:hint="default" w:ascii="Times New Roman" w:hAnsi="Times New Roman" w:eastAsia="仿宋_GB2312" w:cs="Times New Roman"/>
                <w:i w:val="0"/>
                <w:color w:val="auto"/>
                <w:sz w:val="28"/>
                <w:szCs w:val="28"/>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80" w:lineRule="exact"/>
              <w:jc w:val="center"/>
              <w:rPr>
                <w:rFonts w:hint="default" w:ascii="Times New Roman" w:hAnsi="Times New Roman" w:eastAsia="仿宋_GB2312" w:cs="Times New Roman"/>
                <w:i w:val="0"/>
                <w:color w:val="auto"/>
                <w:sz w:val="28"/>
                <w:szCs w:val="28"/>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bottom"/>
              <w:rPr>
                <w:rFonts w:hint="default" w:ascii="Times New Roman" w:hAnsi="Times New Roman" w:eastAsia="仿宋_GB2312" w:cs="Times New Roman"/>
                <w:i w:val="0"/>
                <w:color w:val="auto"/>
                <w:sz w:val="28"/>
                <w:szCs w:val="28"/>
                <w:highlight w:val="none"/>
                <w:u w:val="none"/>
              </w:rPr>
            </w:pPr>
            <w:r>
              <w:rPr>
                <w:rFonts w:hint="default" w:ascii="Times New Roman" w:hAnsi="Times New Roman" w:eastAsia="仿宋_GB2312" w:cs="Times New Roman"/>
                <w:i w:val="0"/>
                <w:color w:val="auto"/>
                <w:kern w:val="0"/>
                <w:sz w:val="28"/>
                <w:szCs w:val="28"/>
                <w:highlight w:val="none"/>
                <w:u w:val="none"/>
                <w:lang w:val="en-US" w:eastAsia="zh-CN" w:bidi="ar"/>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bottom"/>
              <w:rPr>
                <w:rFonts w:hint="default" w:ascii="Times New Roman" w:hAnsi="Times New Roman" w:eastAsia="仿宋_GB2312" w:cs="Times New Roman"/>
                <w:i w:val="0"/>
                <w:color w:val="auto"/>
                <w:sz w:val="28"/>
                <w:szCs w:val="28"/>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bottom"/>
              <w:rPr>
                <w:rFonts w:hint="default" w:ascii="Times New Roman" w:hAnsi="Times New Roman" w:eastAsia="仿宋_GB2312" w:cs="Times New Roman"/>
                <w:i w:val="0"/>
                <w:color w:val="auto"/>
                <w:sz w:val="28"/>
                <w:szCs w:val="28"/>
                <w:highlight w:val="none"/>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bottom"/>
              <w:rPr>
                <w:rFonts w:hint="default" w:ascii="Times New Roman" w:hAnsi="Times New Roman" w:eastAsia="仿宋_GB2312" w:cs="Times New Roman"/>
                <w:i w:val="0"/>
                <w:color w:val="auto"/>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6" w:lineRule="exact"/>
              <w:jc w:val="center"/>
              <w:rPr>
                <w:rFonts w:hint="default" w:ascii="Times New Roman" w:hAnsi="Times New Roman" w:eastAsia="仿宋_GB2312" w:cs="Times New Roman"/>
                <w:i w:val="0"/>
                <w:color w:val="auto"/>
                <w:sz w:val="28"/>
                <w:szCs w:val="28"/>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80" w:lineRule="exact"/>
              <w:jc w:val="center"/>
              <w:rPr>
                <w:rFonts w:hint="default" w:ascii="Times New Roman" w:hAnsi="Times New Roman" w:eastAsia="仿宋_GB2312" w:cs="Times New Roman"/>
                <w:i w:val="0"/>
                <w:color w:val="auto"/>
                <w:sz w:val="28"/>
                <w:szCs w:val="28"/>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bottom"/>
              <w:rPr>
                <w:rFonts w:hint="default" w:ascii="Times New Roman" w:hAnsi="Times New Roman" w:eastAsia="仿宋_GB2312" w:cs="Times New Roman"/>
                <w:i w:val="0"/>
                <w:color w:val="auto"/>
                <w:sz w:val="28"/>
                <w:szCs w:val="28"/>
                <w:highlight w:val="none"/>
                <w:u w:val="none"/>
              </w:rPr>
            </w:pPr>
            <w:r>
              <w:rPr>
                <w:rFonts w:hint="default" w:ascii="Times New Roman" w:hAnsi="Times New Roman" w:eastAsia="仿宋_GB2312" w:cs="Times New Roman"/>
                <w:i w:val="0"/>
                <w:color w:val="auto"/>
                <w:kern w:val="0"/>
                <w:sz w:val="28"/>
                <w:szCs w:val="28"/>
                <w:highlight w:val="none"/>
                <w:u w:val="none"/>
                <w:lang w:val="en-US" w:eastAsia="zh-CN" w:bidi="ar"/>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bottom"/>
              <w:rPr>
                <w:rFonts w:hint="default" w:ascii="Times New Roman" w:hAnsi="Times New Roman" w:eastAsia="仿宋_GB2312" w:cs="Times New Roman"/>
                <w:i w:val="0"/>
                <w:color w:val="auto"/>
                <w:sz w:val="28"/>
                <w:szCs w:val="28"/>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bottom"/>
              <w:rPr>
                <w:rFonts w:hint="default" w:ascii="Times New Roman" w:hAnsi="Times New Roman" w:eastAsia="仿宋_GB2312" w:cs="Times New Roman"/>
                <w:i w:val="0"/>
                <w:color w:val="auto"/>
                <w:sz w:val="28"/>
                <w:szCs w:val="28"/>
                <w:highlight w:val="none"/>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bottom"/>
              <w:rPr>
                <w:rFonts w:hint="default" w:ascii="Times New Roman" w:hAnsi="Times New Roman" w:eastAsia="仿宋_GB2312" w:cs="Times New Roman"/>
                <w:i w:val="0"/>
                <w:color w:val="auto"/>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6" w:lineRule="exact"/>
              <w:jc w:val="center"/>
              <w:rPr>
                <w:rFonts w:hint="default" w:ascii="Times New Roman" w:hAnsi="Times New Roman" w:eastAsia="仿宋_GB2312" w:cs="Times New Roman"/>
                <w:i w:val="0"/>
                <w:color w:val="auto"/>
                <w:sz w:val="28"/>
                <w:szCs w:val="28"/>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80" w:lineRule="exact"/>
              <w:jc w:val="center"/>
              <w:rPr>
                <w:rFonts w:hint="default" w:ascii="Times New Roman" w:hAnsi="Times New Roman" w:eastAsia="仿宋_GB2312" w:cs="Times New Roman"/>
                <w:i w:val="0"/>
                <w:color w:val="auto"/>
                <w:sz w:val="28"/>
                <w:szCs w:val="28"/>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bottom"/>
              <w:rPr>
                <w:rFonts w:hint="default" w:ascii="Times New Roman" w:hAnsi="Times New Roman" w:eastAsia="仿宋_GB2312" w:cs="Times New Roman"/>
                <w:i w:val="0"/>
                <w:color w:val="auto"/>
                <w:sz w:val="28"/>
                <w:szCs w:val="28"/>
                <w:highlight w:val="none"/>
                <w:u w:val="none"/>
              </w:rPr>
            </w:pPr>
            <w:r>
              <w:rPr>
                <w:rFonts w:hint="default" w:ascii="Times New Roman" w:hAnsi="Times New Roman" w:eastAsia="仿宋_GB2312" w:cs="Times New Roman"/>
                <w:i w:val="0"/>
                <w:color w:val="auto"/>
                <w:kern w:val="0"/>
                <w:sz w:val="28"/>
                <w:szCs w:val="28"/>
                <w:highlight w:val="none"/>
                <w:u w:val="none"/>
                <w:lang w:val="en-US" w:eastAsia="zh-CN" w:bidi="ar"/>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bottom"/>
              <w:rPr>
                <w:rFonts w:hint="default" w:ascii="Times New Roman" w:hAnsi="Times New Roman" w:eastAsia="仿宋_GB2312" w:cs="Times New Roman"/>
                <w:i w:val="0"/>
                <w:color w:val="auto"/>
                <w:sz w:val="28"/>
                <w:szCs w:val="28"/>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bottom"/>
              <w:rPr>
                <w:rFonts w:hint="default" w:ascii="Times New Roman" w:hAnsi="Times New Roman" w:eastAsia="仿宋_GB2312" w:cs="Times New Roman"/>
                <w:i w:val="0"/>
                <w:color w:val="auto"/>
                <w:sz w:val="28"/>
                <w:szCs w:val="28"/>
                <w:highlight w:val="none"/>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bottom"/>
              <w:rPr>
                <w:rFonts w:hint="default" w:ascii="Times New Roman" w:hAnsi="Times New Roman" w:eastAsia="仿宋_GB2312" w:cs="Times New Roman"/>
                <w:i w:val="0"/>
                <w:color w:val="auto"/>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6" w:lineRule="exact"/>
              <w:jc w:val="center"/>
              <w:rPr>
                <w:rFonts w:hint="default" w:ascii="Times New Roman" w:hAnsi="Times New Roman" w:eastAsia="仿宋_GB2312" w:cs="Times New Roman"/>
                <w:i w:val="0"/>
                <w:color w:val="auto"/>
                <w:sz w:val="28"/>
                <w:szCs w:val="28"/>
                <w:highlight w:val="none"/>
                <w:u w:val="none"/>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bottom"/>
              <w:rPr>
                <w:rFonts w:hint="default" w:ascii="Times New Roman" w:hAnsi="Times New Roman" w:eastAsia="仿宋_GB2312" w:cs="Times New Roman"/>
                <w:i w:val="0"/>
                <w:color w:val="auto"/>
                <w:sz w:val="28"/>
                <w:szCs w:val="28"/>
                <w:highlight w:val="none"/>
                <w:u w:val="none"/>
              </w:rPr>
            </w:pPr>
            <w:r>
              <w:rPr>
                <w:rFonts w:hint="default" w:ascii="Times New Roman" w:hAnsi="Times New Roman" w:eastAsia="仿宋_GB2312" w:cs="Times New Roman"/>
                <w:i w:val="0"/>
                <w:color w:val="auto"/>
                <w:kern w:val="0"/>
                <w:sz w:val="28"/>
                <w:szCs w:val="28"/>
                <w:highlight w:val="none"/>
                <w:u w:val="none"/>
                <w:lang w:val="en-US" w:eastAsia="zh-CN" w:bidi="ar"/>
              </w:rPr>
              <w:t>效益</w:t>
            </w:r>
            <w:r>
              <w:rPr>
                <w:rFonts w:hint="default" w:ascii="Times New Roman" w:hAnsi="Times New Roman" w:eastAsia="仿宋_GB2312" w:cs="Times New Roman"/>
                <w:i w:val="0"/>
                <w:color w:val="auto"/>
                <w:kern w:val="0"/>
                <w:sz w:val="28"/>
                <w:szCs w:val="28"/>
                <w:highlight w:val="none"/>
                <w:u w:val="none"/>
                <w:lang w:val="en-US" w:eastAsia="zh-CN" w:bidi="ar"/>
              </w:rPr>
              <w:br w:type="textWrapping"/>
            </w:r>
            <w:r>
              <w:rPr>
                <w:rFonts w:hint="default" w:ascii="Times New Roman" w:hAnsi="Times New Roman" w:eastAsia="仿宋_GB2312" w:cs="Times New Roman"/>
                <w:i w:val="0"/>
                <w:color w:val="auto"/>
                <w:kern w:val="0"/>
                <w:sz w:val="28"/>
                <w:szCs w:val="28"/>
                <w:highlight w:val="none"/>
                <w:u w:val="none"/>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bottom"/>
              <w:rPr>
                <w:rFonts w:hint="default" w:ascii="Times New Roman" w:hAnsi="Times New Roman" w:eastAsia="仿宋_GB2312" w:cs="Times New Roman"/>
                <w:i w:val="0"/>
                <w:color w:val="auto"/>
                <w:sz w:val="28"/>
                <w:szCs w:val="28"/>
                <w:highlight w:val="none"/>
                <w:u w:val="none"/>
              </w:rPr>
            </w:pPr>
            <w:r>
              <w:rPr>
                <w:rFonts w:hint="default" w:ascii="Times New Roman" w:hAnsi="Times New Roman" w:eastAsia="仿宋_GB2312" w:cs="Times New Roman"/>
                <w:i w:val="0"/>
                <w:color w:val="auto"/>
                <w:kern w:val="0"/>
                <w:sz w:val="28"/>
                <w:szCs w:val="28"/>
                <w:highlight w:val="none"/>
                <w:u w:val="none"/>
                <w:lang w:val="en-US" w:eastAsia="zh-CN" w:bidi="ar"/>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bottom"/>
              <w:rPr>
                <w:rFonts w:hint="default" w:ascii="Times New Roman" w:hAnsi="Times New Roman" w:eastAsia="仿宋_GB2312" w:cs="Times New Roman"/>
                <w:i w:val="0"/>
                <w:color w:val="auto"/>
                <w:sz w:val="28"/>
                <w:szCs w:val="28"/>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bottom"/>
              <w:rPr>
                <w:rFonts w:hint="default" w:ascii="Times New Roman" w:hAnsi="Times New Roman" w:eastAsia="仿宋_GB2312" w:cs="Times New Roman"/>
                <w:i w:val="0"/>
                <w:color w:val="auto"/>
                <w:sz w:val="28"/>
                <w:szCs w:val="28"/>
                <w:highlight w:val="none"/>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bottom"/>
              <w:rPr>
                <w:rFonts w:hint="default" w:ascii="Times New Roman" w:hAnsi="Times New Roman" w:eastAsia="仿宋_GB2312" w:cs="Times New Roman"/>
                <w:i w:val="0"/>
                <w:color w:val="auto"/>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6" w:lineRule="exact"/>
              <w:jc w:val="center"/>
              <w:rPr>
                <w:rFonts w:hint="default" w:ascii="Times New Roman" w:hAnsi="Times New Roman" w:eastAsia="仿宋_GB2312" w:cs="Times New Roman"/>
                <w:i w:val="0"/>
                <w:color w:val="auto"/>
                <w:sz w:val="28"/>
                <w:szCs w:val="28"/>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80" w:lineRule="exact"/>
              <w:jc w:val="center"/>
              <w:rPr>
                <w:rFonts w:hint="default" w:ascii="Times New Roman" w:hAnsi="Times New Roman" w:eastAsia="仿宋_GB2312" w:cs="Times New Roman"/>
                <w:i w:val="0"/>
                <w:color w:val="auto"/>
                <w:sz w:val="28"/>
                <w:szCs w:val="28"/>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bottom"/>
              <w:rPr>
                <w:rFonts w:hint="default" w:ascii="Times New Roman" w:hAnsi="Times New Roman" w:eastAsia="仿宋_GB2312" w:cs="Times New Roman"/>
                <w:i w:val="0"/>
                <w:color w:val="auto"/>
                <w:sz w:val="28"/>
                <w:szCs w:val="28"/>
                <w:highlight w:val="none"/>
                <w:u w:val="none"/>
              </w:rPr>
            </w:pPr>
            <w:r>
              <w:rPr>
                <w:rFonts w:hint="default" w:ascii="Times New Roman" w:hAnsi="Times New Roman" w:eastAsia="仿宋_GB2312" w:cs="Times New Roman"/>
                <w:i w:val="0"/>
                <w:color w:val="auto"/>
                <w:kern w:val="0"/>
                <w:sz w:val="28"/>
                <w:szCs w:val="28"/>
                <w:highlight w:val="none"/>
                <w:u w:val="none"/>
                <w:lang w:val="en-US" w:eastAsia="zh-CN" w:bidi="ar"/>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bottom"/>
              <w:rPr>
                <w:rFonts w:hint="default" w:ascii="Times New Roman" w:hAnsi="Times New Roman" w:eastAsia="仿宋_GB2312" w:cs="Times New Roman"/>
                <w:i w:val="0"/>
                <w:color w:val="auto"/>
                <w:sz w:val="28"/>
                <w:szCs w:val="28"/>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bottom"/>
              <w:rPr>
                <w:rFonts w:hint="default" w:ascii="Times New Roman" w:hAnsi="Times New Roman" w:eastAsia="仿宋_GB2312" w:cs="Times New Roman"/>
                <w:i w:val="0"/>
                <w:color w:val="auto"/>
                <w:sz w:val="28"/>
                <w:szCs w:val="28"/>
                <w:highlight w:val="none"/>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bottom"/>
              <w:rPr>
                <w:rFonts w:hint="default" w:ascii="Times New Roman" w:hAnsi="Times New Roman" w:eastAsia="仿宋_GB2312" w:cs="Times New Roman"/>
                <w:i w:val="0"/>
                <w:color w:val="auto"/>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77"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6" w:lineRule="exact"/>
              <w:jc w:val="center"/>
              <w:rPr>
                <w:rFonts w:hint="default" w:ascii="Times New Roman" w:hAnsi="Times New Roman" w:eastAsia="仿宋_GB2312" w:cs="Times New Roman"/>
                <w:i w:val="0"/>
                <w:color w:val="auto"/>
                <w:sz w:val="28"/>
                <w:szCs w:val="28"/>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80" w:lineRule="exact"/>
              <w:jc w:val="center"/>
              <w:rPr>
                <w:rFonts w:hint="default" w:ascii="Times New Roman" w:hAnsi="Times New Roman" w:eastAsia="仿宋_GB2312" w:cs="Times New Roman"/>
                <w:i w:val="0"/>
                <w:color w:val="auto"/>
                <w:sz w:val="28"/>
                <w:szCs w:val="28"/>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80" w:lineRule="exact"/>
              <w:ind w:left="463" w:leftChars="87" w:hanging="280" w:hangingChars="100"/>
              <w:jc w:val="left"/>
              <w:textAlignment w:val="bottom"/>
              <w:rPr>
                <w:rFonts w:hint="default" w:ascii="Times New Roman" w:hAnsi="Times New Roman" w:eastAsia="仿宋_GB2312" w:cs="Times New Roman"/>
                <w:i w:val="0"/>
                <w:color w:val="auto"/>
                <w:sz w:val="28"/>
                <w:szCs w:val="28"/>
                <w:highlight w:val="none"/>
                <w:u w:val="none"/>
              </w:rPr>
            </w:pPr>
            <w:r>
              <w:rPr>
                <w:rFonts w:hint="default" w:ascii="Times New Roman" w:hAnsi="Times New Roman" w:eastAsia="仿宋_GB2312" w:cs="Times New Roman"/>
                <w:i w:val="0"/>
                <w:color w:val="auto"/>
                <w:kern w:val="0"/>
                <w:sz w:val="28"/>
                <w:szCs w:val="28"/>
                <w:highlight w:val="none"/>
                <w:u w:val="none"/>
                <w:lang w:val="en-US" w:eastAsia="zh-CN" w:bidi="ar"/>
              </w:rPr>
              <w:t>生态效益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bottom"/>
              <w:rPr>
                <w:rFonts w:hint="default" w:ascii="Times New Roman" w:hAnsi="Times New Roman" w:eastAsia="仿宋_GB2312" w:cs="Times New Roman"/>
                <w:i w:val="0"/>
                <w:color w:val="auto"/>
                <w:sz w:val="28"/>
                <w:szCs w:val="28"/>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bottom"/>
              <w:rPr>
                <w:rFonts w:hint="default" w:ascii="Times New Roman" w:hAnsi="Times New Roman" w:eastAsia="仿宋_GB2312" w:cs="Times New Roman"/>
                <w:i w:val="0"/>
                <w:color w:val="auto"/>
                <w:sz w:val="28"/>
                <w:szCs w:val="28"/>
                <w:highlight w:val="none"/>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bottom"/>
              <w:rPr>
                <w:rFonts w:hint="default" w:ascii="Times New Roman" w:hAnsi="Times New Roman" w:eastAsia="仿宋_GB2312" w:cs="Times New Roman"/>
                <w:i w:val="0"/>
                <w:color w:val="auto"/>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6" w:lineRule="exact"/>
              <w:jc w:val="center"/>
              <w:rPr>
                <w:rFonts w:hint="default" w:ascii="Times New Roman" w:hAnsi="Times New Roman" w:eastAsia="仿宋_GB2312" w:cs="Times New Roman"/>
                <w:i w:val="0"/>
                <w:color w:val="auto"/>
                <w:sz w:val="28"/>
                <w:szCs w:val="28"/>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80" w:lineRule="exact"/>
              <w:jc w:val="center"/>
              <w:rPr>
                <w:rFonts w:hint="default" w:ascii="Times New Roman" w:hAnsi="Times New Roman" w:eastAsia="仿宋_GB2312" w:cs="Times New Roman"/>
                <w:i w:val="0"/>
                <w:color w:val="auto"/>
                <w:sz w:val="28"/>
                <w:szCs w:val="28"/>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bottom"/>
              <w:rPr>
                <w:rFonts w:hint="default" w:ascii="Times New Roman" w:hAnsi="Times New Roman" w:eastAsia="仿宋_GB2312" w:cs="Times New Roman"/>
                <w:i w:val="0"/>
                <w:color w:val="auto"/>
                <w:sz w:val="28"/>
                <w:szCs w:val="28"/>
                <w:highlight w:val="none"/>
                <w:u w:val="none"/>
              </w:rPr>
            </w:pPr>
            <w:r>
              <w:rPr>
                <w:rFonts w:hint="default" w:ascii="Times New Roman" w:hAnsi="Times New Roman" w:eastAsia="仿宋_GB2312" w:cs="Times New Roman"/>
                <w:i w:val="0"/>
                <w:color w:val="auto"/>
                <w:kern w:val="0"/>
                <w:sz w:val="28"/>
                <w:szCs w:val="28"/>
                <w:highlight w:val="none"/>
                <w:u w:val="none"/>
                <w:lang w:val="en-US" w:eastAsia="zh-CN" w:bidi="ar"/>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bottom"/>
              <w:rPr>
                <w:rFonts w:hint="default" w:ascii="Times New Roman" w:hAnsi="Times New Roman" w:eastAsia="仿宋_GB2312" w:cs="Times New Roman"/>
                <w:i w:val="0"/>
                <w:color w:val="auto"/>
                <w:sz w:val="28"/>
                <w:szCs w:val="28"/>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bottom"/>
              <w:rPr>
                <w:rFonts w:hint="default" w:ascii="Times New Roman" w:hAnsi="Times New Roman" w:eastAsia="仿宋_GB2312" w:cs="Times New Roman"/>
                <w:i w:val="0"/>
                <w:color w:val="auto"/>
                <w:sz w:val="28"/>
                <w:szCs w:val="28"/>
                <w:highlight w:val="none"/>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bottom"/>
              <w:rPr>
                <w:rFonts w:hint="default" w:ascii="Times New Roman" w:hAnsi="Times New Roman" w:eastAsia="仿宋_GB2312" w:cs="Times New Roman"/>
                <w:i w:val="0"/>
                <w:color w:val="auto"/>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30" w:hRule="atLeast"/>
        </w:trPr>
        <w:tc>
          <w:tcPr>
            <w:tcW w:w="197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6" w:lineRule="exact"/>
              <w:jc w:val="center"/>
              <w:rPr>
                <w:rFonts w:hint="default" w:ascii="Times New Roman" w:hAnsi="Times New Roman" w:eastAsia="仿宋_GB2312" w:cs="Times New Roman"/>
                <w:i w:val="0"/>
                <w:color w:val="auto"/>
                <w:sz w:val="28"/>
                <w:szCs w:val="28"/>
                <w:highlight w:val="none"/>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bottom"/>
              <w:rPr>
                <w:rFonts w:hint="default" w:ascii="Times New Roman" w:hAnsi="Times New Roman" w:eastAsia="仿宋_GB2312" w:cs="Times New Roman"/>
                <w:i w:val="0"/>
                <w:color w:val="auto"/>
                <w:sz w:val="28"/>
                <w:szCs w:val="28"/>
                <w:highlight w:val="none"/>
                <w:u w:val="none"/>
              </w:rPr>
            </w:pPr>
            <w:r>
              <w:rPr>
                <w:rFonts w:hint="default" w:ascii="Times New Roman" w:hAnsi="Times New Roman" w:eastAsia="仿宋_GB2312" w:cs="Times New Roman"/>
                <w:i w:val="0"/>
                <w:color w:val="auto"/>
                <w:kern w:val="0"/>
                <w:sz w:val="28"/>
                <w:szCs w:val="28"/>
                <w:highlight w:val="none"/>
                <w:u w:val="none"/>
                <w:lang w:val="en-US" w:eastAsia="zh-CN" w:bidi="ar"/>
              </w:rPr>
              <w:t>满意</w:t>
            </w:r>
            <w:r>
              <w:rPr>
                <w:rFonts w:hint="default" w:ascii="Times New Roman" w:hAnsi="Times New Roman" w:eastAsia="仿宋_GB2312" w:cs="Times New Roman"/>
                <w:i w:val="0"/>
                <w:color w:val="auto"/>
                <w:kern w:val="0"/>
                <w:sz w:val="28"/>
                <w:szCs w:val="28"/>
                <w:highlight w:val="none"/>
                <w:u w:val="none"/>
                <w:lang w:val="en-US" w:eastAsia="zh-CN" w:bidi="ar"/>
              </w:rPr>
              <w:br w:type="textWrapping"/>
            </w:r>
            <w:r>
              <w:rPr>
                <w:rFonts w:hint="default" w:ascii="Times New Roman" w:hAnsi="Times New Roman" w:eastAsia="仿宋_GB2312" w:cs="Times New Roman"/>
                <w:i w:val="0"/>
                <w:color w:val="auto"/>
                <w:kern w:val="0"/>
                <w:sz w:val="28"/>
                <w:szCs w:val="28"/>
                <w:highlight w:val="none"/>
                <w:u w:val="none"/>
                <w:lang w:val="en-US" w:eastAsia="zh-CN" w:bidi="ar"/>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bottom"/>
              <w:rPr>
                <w:rFonts w:hint="default" w:ascii="Times New Roman" w:hAnsi="Times New Roman" w:eastAsia="仿宋_GB2312" w:cs="Times New Roman"/>
                <w:i w:val="0"/>
                <w:color w:val="auto"/>
                <w:kern w:val="0"/>
                <w:sz w:val="28"/>
                <w:szCs w:val="28"/>
                <w:highlight w:val="none"/>
                <w:u w:val="none"/>
                <w:lang w:val="en-US" w:eastAsia="zh-CN" w:bidi="ar"/>
              </w:rPr>
            </w:pPr>
            <w:r>
              <w:rPr>
                <w:rFonts w:hint="default" w:ascii="Times New Roman" w:hAnsi="Times New Roman" w:eastAsia="仿宋_GB2312" w:cs="Times New Roman"/>
                <w:i w:val="0"/>
                <w:color w:val="auto"/>
                <w:kern w:val="0"/>
                <w:sz w:val="28"/>
                <w:szCs w:val="28"/>
                <w:highlight w:val="none"/>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bottom"/>
              <w:rPr>
                <w:rFonts w:hint="default" w:ascii="Times New Roman" w:hAnsi="Times New Roman" w:eastAsia="仿宋_GB2312" w:cs="Times New Roman"/>
                <w:i w:val="0"/>
                <w:color w:val="auto"/>
                <w:sz w:val="28"/>
                <w:szCs w:val="28"/>
                <w:highlight w:val="none"/>
                <w:u w:val="none"/>
              </w:rPr>
            </w:pPr>
            <w:r>
              <w:rPr>
                <w:rFonts w:hint="default" w:ascii="Times New Roman" w:hAnsi="Times New Roman" w:eastAsia="仿宋_GB2312" w:cs="Times New Roman"/>
                <w:i w:val="0"/>
                <w:color w:val="auto"/>
                <w:kern w:val="0"/>
                <w:sz w:val="28"/>
                <w:szCs w:val="28"/>
                <w:highlight w:val="none"/>
                <w:u w:val="none"/>
                <w:lang w:val="en-US" w:eastAsia="zh-CN"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bottom"/>
              <w:rPr>
                <w:rFonts w:hint="default" w:ascii="Times New Roman" w:hAnsi="Times New Roman" w:eastAsia="仿宋_GB2312" w:cs="Times New Roman"/>
                <w:i w:val="0"/>
                <w:color w:val="auto"/>
                <w:sz w:val="28"/>
                <w:szCs w:val="28"/>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bottom"/>
              <w:rPr>
                <w:rFonts w:hint="default" w:ascii="Times New Roman" w:hAnsi="Times New Roman" w:eastAsia="仿宋_GB2312" w:cs="Times New Roman"/>
                <w:i w:val="0"/>
                <w:color w:val="auto"/>
                <w:sz w:val="28"/>
                <w:szCs w:val="28"/>
                <w:highlight w:val="none"/>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bottom"/>
              <w:rPr>
                <w:rFonts w:hint="default" w:ascii="Times New Roman" w:hAnsi="Times New Roman" w:eastAsia="仿宋_GB2312" w:cs="Times New Roman"/>
                <w:i w:val="0"/>
                <w:color w:val="auto"/>
                <w:sz w:val="28"/>
                <w:szCs w:val="28"/>
                <w:highlight w:val="none"/>
                <w:u w:val="none"/>
              </w:rPr>
            </w:pPr>
          </w:p>
        </w:tc>
      </w:tr>
    </w:tbl>
    <w:p>
      <w:pPr>
        <w:keepNext w:val="0"/>
        <w:keepLines w:val="0"/>
        <w:pageBreakBefore w:val="0"/>
        <w:widowControl/>
        <w:kinsoku/>
        <w:wordWrap/>
        <w:overflowPunct/>
        <w:topLinePunct w:val="0"/>
        <w:autoSpaceDE/>
        <w:autoSpaceDN/>
        <w:bidi w:val="0"/>
        <w:adjustRightInd w:val="0"/>
        <w:snapToGrid w:val="0"/>
        <w:spacing w:afterAutospacing="0" w:line="576" w:lineRule="exact"/>
        <w:ind w:firstLine="640" w:firstLineChars="200"/>
        <w:contextualSpacing/>
        <w:jc w:val="left"/>
        <w:textAlignment w:val="auto"/>
        <w:rPr>
          <w:rFonts w:hint="default" w:ascii="Times New Roman" w:hAnsi="Times New Roman" w:eastAsia="仿宋_GB2312" w:cs="Times New Roman"/>
          <w:b w:val="0"/>
          <w:bCs w:val="0"/>
          <w:color w:val="auto"/>
          <w:kern w:val="0"/>
          <w:sz w:val="32"/>
          <w:szCs w:val="32"/>
          <w:highlight w:val="none"/>
          <w:shd w:val="clear" w:color="auto" w:fill="FFFFFF"/>
          <w:lang w:val="zh-CN"/>
        </w:rPr>
      </w:pPr>
      <w:r>
        <w:rPr>
          <w:rFonts w:hint="default" w:ascii="Times New Roman" w:hAnsi="Times New Roman" w:eastAsia="仿宋_GB2312" w:cs="Times New Roman"/>
          <w:b w:val="0"/>
          <w:bCs w:val="0"/>
          <w:color w:val="auto"/>
          <w:kern w:val="0"/>
          <w:sz w:val="32"/>
          <w:szCs w:val="32"/>
          <w:highlight w:val="none"/>
          <w:shd w:val="clear" w:color="auto" w:fill="FFFFFF"/>
          <w:lang w:val="zh-CN"/>
        </w:rPr>
        <w:t>附表：</w:t>
      </w:r>
    </w:p>
    <w:p>
      <w:pPr>
        <w:pageBreakBefore w:val="0"/>
        <w:widowControl/>
        <w:kinsoku/>
        <w:wordWrap/>
        <w:overflowPunct/>
        <w:topLinePunct w:val="0"/>
        <w:bidi w:val="0"/>
        <w:adjustRightInd w:val="0"/>
        <w:snapToGrid w:val="0"/>
        <w:spacing w:line="576" w:lineRule="exact"/>
        <w:contextualSpacing/>
        <w:jc w:val="left"/>
        <w:rPr>
          <w:rFonts w:hint="default" w:ascii="Times New Roman" w:hAnsi="Times New Roman" w:eastAsia="仿宋_GB2312" w:cs="Times New Roman"/>
          <w:color w:val="auto"/>
          <w:kern w:val="0"/>
          <w:sz w:val="32"/>
          <w:szCs w:val="32"/>
          <w:highlight w:val="none"/>
          <w:shd w:val="clear" w:color="auto" w:fill="FFFFFF"/>
          <w:lang w:val="en-US" w:eastAsia="zh-CN"/>
        </w:rPr>
      </w:pPr>
      <w:r>
        <w:rPr>
          <w:rFonts w:hint="default" w:ascii="Times New Roman" w:hAnsi="Times New Roman" w:eastAsia="仿宋_GB2312" w:cs="Times New Roman"/>
          <w:color w:val="auto"/>
          <w:kern w:val="0"/>
          <w:sz w:val="32"/>
          <w:szCs w:val="32"/>
          <w:highlight w:val="none"/>
          <w:shd w:val="clear" w:color="auto" w:fill="FFFFFF"/>
          <w:lang w:val="en-US" w:eastAsia="zh-CN"/>
        </w:rPr>
        <w:t>（注：有两个及以上100万元以上（含）特定目标类部门预算项目的，需分别开展绩效目标自评并填写附表）</w:t>
      </w:r>
      <w:bookmarkStart w:id="57" w:name="_Toc15396618"/>
    </w:p>
    <w:p>
      <w:pPr>
        <w:pageBreakBefore w:val="0"/>
        <w:widowControl/>
        <w:kinsoku/>
        <w:wordWrap/>
        <w:overflowPunct/>
        <w:topLinePunct w:val="0"/>
        <w:bidi w:val="0"/>
        <w:adjustRightInd w:val="0"/>
        <w:snapToGrid w:val="0"/>
        <w:spacing w:line="576" w:lineRule="exact"/>
        <w:contextualSpacing/>
        <w:jc w:val="left"/>
        <w:rPr>
          <w:rFonts w:hint="eastAsia" w:ascii="方正黑体_GBK" w:hAnsi="方正黑体_GBK" w:eastAsia="方正黑体_GBK" w:cs="方正黑体_GBK"/>
          <w:b w:val="0"/>
          <w:bCs w:val="0"/>
        </w:rPr>
      </w:pPr>
      <w:r>
        <w:rPr>
          <w:rFonts w:hint="eastAsia" w:ascii="方正黑体_GBK" w:hAnsi="方正黑体_GBK" w:eastAsia="方正黑体_GBK" w:cs="方正黑体_GBK"/>
          <w:b w:val="0"/>
          <w:bCs w:val="0"/>
          <w:sz w:val="44"/>
          <w:szCs w:val="44"/>
        </w:rPr>
        <w:t>第</w:t>
      </w:r>
      <w:r>
        <w:rPr>
          <w:rStyle w:val="24"/>
          <w:rFonts w:hint="eastAsia" w:ascii="方正黑体_GBK" w:hAnsi="方正黑体_GBK" w:eastAsia="方正黑体_GBK" w:cs="方正黑体_GBK"/>
          <w:b w:val="0"/>
          <w:bCs w:val="0"/>
        </w:rPr>
        <w:t>五部分 附表</w:t>
      </w:r>
      <w:bookmarkEnd w:id="55"/>
      <w:bookmarkEnd w:id="57"/>
      <w:bookmarkStart w:id="58" w:name="_Toc15396619"/>
    </w:p>
    <w:p>
      <w:pPr>
        <w:pStyle w:val="4"/>
        <w:pageBreakBefore w:val="0"/>
        <w:kinsoku/>
        <w:wordWrap/>
        <w:overflowPunct/>
        <w:topLinePunct w:val="0"/>
        <w:bidi w:val="0"/>
        <w:spacing w:line="576" w:lineRule="exact"/>
        <w:rPr>
          <w:rFonts w:hint="default" w:ascii="Times New Roman" w:hAnsi="Times New Roman" w:eastAsia="仿宋" w:cs="Times New Roman"/>
        </w:rPr>
      </w:pPr>
      <w:r>
        <w:rPr>
          <w:rFonts w:hint="default" w:ascii="Times New Roman" w:hAnsi="Times New Roman" w:eastAsia="仿宋" w:cs="Times New Roman"/>
          <w:b w:val="0"/>
        </w:rPr>
        <w:t>一、收</w:t>
      </w:r>
      <w:r>
        <w:rPr>
          <w:rStyle w:val="25"/>
          <w:rFonts w:hint="default" w:ascii="Times New Roman" w:hAnsi="Times New Roman" w:eastAsia="仿宋" w:cs="Times New Roman"/>
          <w:b w:val="0"/>
          <w:bCs w:val="0"/>
        </w:rPr>
        <w:t>入支出决算总表</w:t>
      </w:r>
      <w:bookmarkEnd w:id="58"/>
    </w:p>
    <w:p>
      <w:pPr>
        <w:pStyle w:val="4"/>
        <w:pageBreakBefore w:val="0"/>
        <w:kinsoku/>
        <w:wordWrap/>
        <w:overflowPunct/>
        <w:topLinePunct w:val="0"/>
        <w:bidi w:val="0"/>
        <w:spacing w:line="576" w:lineRule="exact"/>
        <w:rPr>
          <w:rFonts w:hint="default" w:ascii="Times New Roman" w:hAnsi="Times New Roman" w:eastAsia="仿宋" w:cs="Times New Roman"/>
        </w:rPr>
      </w:pPr>
      <w:bookmarkStart w:id="59" w:name="_Toc15396620"/>
      <w:r>
        <w:rPr>
          <w:rFonts w:hint="default" w:ascii="Times New Roman" w:hAnsi="Times New Roman" w:eastAsia="仿宋" w:cs="Times New Roman"/>
          <w:b w:val="0"/>
        </w:rPr>
        <w:t>二、收</w:t>
      </w:r>
      <w:r>
        <w:rPr>
          <w:rStyle w:val="25"/>
          <w:rFonts w:hint="default" w:ascii="Times New Roman" w:hAnsi="Times New Roman" w:eastAsia="仿宋" w:cs="Times New Roman"/>
          <w:b w:val="0"/>
          <w:bCs w:val="0"/>
        </w:rPr>
        <w:t>入决算表</w:t>
      </w:r>
      <w:bookmarkEnd w:id="59"/>
    </w:p>
    <w:p>
      <w:pPr>
        <w:pStyle w:val="4"/>
        <w:pageBreakBefore w:val="0"/>
        <w:kinsoku/>
        <w:wordWrap/>
        <w:overflowPunct/>
        <w:topLinePunct w:val="0"/>
        <w:bidi w:val="0"/>
        <w:spacing w:line="576" w:lineRule="exact"/>
        <w:rPr>
          <w:rFonts w:hint="default" w:ascii="Times New Roman" w:hAnsi="Times New Roman" w:eastAsia="仿宋" w:cs="Times New Roman"/>
        </w:rPr>
      </w:pPr>
      <w:bookmarkStart w:id="60" w:name="_Toc15396621"/>
      <w:r>
        <w:rPr>
          <w:rStyle w:val="25"/>
          <w:rFonts w:hint="default" w:ascii="Times New Roman" w:hAnsi="Times New Roman" w:eastAsia="仿宋" w:cs="Times New Roman"/>
          <w:b w:val="0"/>
          <w:bCs w:val="0"/>
        </w:rPr>
        <w:t>三、</w:t>
      </w:r>
      <w:r>
        <w:rPr>
          <w:rFonts w:hint="default" w:ascii="Times New Roman" w:hAnsi="Times New Roman" w:eastAsia="仿宋" w:cs="Times New Roman"/>
          <w:b w:val="0"/>
        </w:rPr>
        <w:t>支</w:t>
      </w:r>
      <w:r>
        <w:rPr>
          <w:rStyle w:val="25"/>
          <w:rFonts w:hint="default" w:ascii="Times New Roman" w:hAnsi="Times New Roman" w:eastAsia="仿宋" w:cs="Times New Roman"/>
          <w:b w:val="0"/>
          <w:bCs w:val="0"/>
        </w:rPr>
        <w:t>出决算表</w:t>
      </w:r>
      <w:bookmarkEnd w:id="60"/>
    </w:p>
    <w:p>
      <w:pPr>
        <w:pStyle w:val="4"/>
        <w:pageBreakBefore w:val="0"/>
        <w:kinsoku/>
        <w:wordWrap/>
        <w:overflowPunct/>
        <w:topLinePunct w:val="0"/>
        <w:bidi w:val="0"/>
        <w:spacing w:line="576" w:lineRule="exact"/>
        <w:rPr>
          <w:rFonts w:hint="default" w:ascii="Times New Roman" w:hAnsi="Times New Roman" w:eastAsia="仿宋" w:cs="Times New Roman"/>
          <w:b w:val="0"/>
        </w:rPr>
      </w:pPr>
      <w:bookmarkStart w:id="61" w:name="_Toc15396622"/>
      <w:r>
        <w:rPr>
          <w:rStyle w:val="25"/>
          <w:rFonts w:hint="default" w:ascii="Times New Roman" w:hAnsi="Times New Roman" w:eastAsia="仿宋" w:cs="Times New Roman"/>
          <w:b w:val="0"/>
          <w:bCs w:val="0"/>
        </w:rPr>
        <w:t>四、</w:t>
      </w:r>
      <w:r>
        <w:rPr>
          <w:rFonts w:hint="default" w:ascii="Times New Roman" w:hAnsi="Times New Roman" w:eastAsia="仿宋" w:cs="Times New Roman"/>
          <w:b w:val="0"/>
        </w:rPr>
        <w:t>财</w:t>
      </w:r>
      <w:r>
        <w:rPr>
          <w:rStyle w:val="25"/>
          <w:rFonts w:hint="default" w:ascii="Times New Roman" w:hAnsi="Times New Roman" w:eastAsia="仿宋" w:cs="Times New Roman"/>
          <w:b w:val="0"/>
          <w:bCs w:val="0"/>
        </w:rPr>
        <w:t>政拨款收入支出决算总表</w:t>
      </w:r>
      <w:bookmarkEnd w:id="61"/>
    </w:p>
    <w:p>
      <w:pPr>
        <w:pStyle w:val="4"/>
        <w:pageBreakBefore w:val="0"/>
        <w:kinsoku/>
        <w:wordWrap/>
        <w:overflowPunct/>
        <w:topLinePunct w:val="0"/>
        <w:bidi w:val="0"/>
        <w:spacing w:line="576" w:lineRule="exact"/>
        <w:rPr>
          <w:rStyle w:val="25"/>
          <w:rFonts w:hint="default" w:ascii="Times New Roman" w:hAnsi="Times New Roman" w:eastAsia="仿宋" w:cs="Times New Roman"/>
          <w:b w:val="0"/>
          <w:bCs w:val="0"/>
        </w:rPr>
      </w:pPr>
      <w:bookmarkStart w:id="62" w:name="_Toc15396623"/>
      <w:r>
        <w:rPr>
          <w:rStyle w:val="25"/>
          <w:rFonts w:hint="default" w:ascii="Times New Roman" w:hAnsi="Times New Roman" w:eastAsia="仿宋" w:cs="Times New Roman"/>
          <w:b w:val="0"/>
          <w:bCs w:val="0"/>
        </w:rPr>
        <w:t>五、</w:t>
      </w:r>
      <w:r>
        <w:rPr>
          <w:rFonts w:hint="default" w:ascii="Times New Roman" w:hAnsi="Times New Roman" w:eastAsia="仿宋" w:cs="Times New Roman"/>
          <w:b w:val="0"/>
        </w:rPr>
        <w:t>财</w:t>
      </w:r>
      <w:r>
        <w:rPr>
          <w:rStyle w:val="25"/>
          <w:rFonts w:hint="default" w:ascii="Times New Roman" w:hAnsi="Times New Roman" w:eastAsia="仿宋" w:cs="Times New Roman"/>
          <w:b w:val="0"/>
          <w:bCs w:val="0"/>
        </w:rPr>
        <w:t>政拨款支出决算明细表</w:t>
      </w:r>
      <w:bookmarkEnd w:id="62"/>
      <w:bookmarkStart w:id="63" w:name="_Toc15396624"/>
    </w:p>
    <w:p>
      <w:pPr>
        <w:pStyle w:val="4"/>
        <w:pageBreakBefore w:val="0"/>
        <w:kinsoku/>
        <w:wordWrap/>
        <w:overflowPunct/>
        <w:topLinePunct w:val="0"/>
        <w:bidi w:val="0"/>
        <w:spacing w:line="576" w:lineRule="exact"/>
        <w:rPr>
          <w:rFonts w:hint="default" w:ascii="Times New Roman" w:hAnsi="Times New Roman" w:eastAsia="仿宋" w:cs="Times New Roman"/>
        </w:rPr>
      </w:pPr>
      <w:r>
        <w:rPr>
          <w:rStyle w:val="25"/>
          <w:rFonts w:hint="default" w:ascii="Times New Roman" w:hAnsi="Times New Roman" w:eastAsia="仿宋" w:cs="Times New Roman"/>
          <w:b w:val="0"/>
          <w:bCs w:val="0"/>
        </w:rPr>
        <w:t>六、</w:t>
      </w:r>
      <w:r>
        <w:rPr>
          <w:rFonts w:hint="default" w:ascii="Times New Roman" w:hAnsi="Times New Roman" w:eastAsia="仿宋" w:cs="Times New Roman"/>
          <w:b w:val="0"/>
        </w:rPr>
        <w:t>一</w:t>
      </w:r>
      <w:r>
        <w:rPr>
          <w:rStyle w:val="25"/>
          <w:rFonts w:hint="default" w:ascii="Times New Roman" w:hAnsi="Times New Roman" w:eastAsia="仿宋" w:cs="Times New Roman"/>
          <w:b w:val="0"/>
          <w:bCs w:val="0"/>
        </w:rPr>
        <w:t>般公共预算财政拨款支出决算表</w:t>
      </w:r>
      <w:bookmarkEnd w:id="63"/>
    </w:p>
    <w:p>
      <w:pPr>
        <w:pStyle w:val="4"/>
        <w:pageBreakBefore w:val="0"/>
        <w:kinsoku/>
        <w:wordWrap/>
        <w:overflowPunct/>
        <w:topLinePunct w:val="0"/>
        <w:bidi w:val="0"/>
        <w:spacing w:line="576" w:lineRule="exact"/>
        <w:rPr>
          <w:rFonts w:hint="default" w:ascii="Times New Roman" w:hAnsi="Times New Roman" w:eastAsia="仿宋" w:cs="Times New Roman"/>
        </w:rPr>
      </w:pPr>
      <w:bookmarkStart w:id="64" w:name="_Toc15396625"/>
      <w:r>
        <w:rPr>
          <w:rStyle w:val="25"/>
          <w:rFonts w:hint="default" w:ascii="Times New Roman" w:hAnsi="Times New Roman" w:eastAsia="仿宋" w:cs="Times New Roman"/>
          <w:b w:val="0"/>
          <w:bCs w:val="0"/>
        </w:rPr>
        <w:t>七、</w:t>
      </w:r>
      <w:r>
        <w:rPr>
          <w:rFonts w:hint="default" w:ascii="Times New Roman" w:hAnsi="Times New Roman" w:eastAsia="仿宋" w:cs="Times New Roman"/>
          <w:b w:val="0"/>
        </w:rPr>
        <w:t>一</w:t>
      </w:r>
      <w:r>
        <w:rPr>
          <w:rStyle w:val="25"/>
          <w:rFonts w:hint="default" w:ascii="Times New Roman" w:hAnsi="Times New Roman" w:eastAsia="仿宋" w:cs="Times New Roman"/>
          <w:b w:val="0"/>
          <w:bCs w:val="0"/>
        </w:rPr>
        <w:t>般公共预算财政拨款支出决算明细表</w:t>
      </w:r>
      <w:bookmarkEnd w:id="64"/>
    </w:p>
    <w:p>
      <w:pPr>
        <w:pStyle w:val="4"/>
        <w:pageBreakBefore w:val="0"/>
        <w:kinsoku/>
        <w:wordWrap/>
        <w:overflowPunct/>
        <w:topLinePunct w:val="0"/>
        <w:bidi w:val="0"/>
        <w:spacing w:line="576" w:lineRule="exact"/>
        <w:rPr>
          <w:rFonts w:hint="default" w:ascii="Times New Roman" w:hAnsi="Times New Roman" w:eastAsia="仿宋" w:cs="Times New Roman"/>
        </w:rPr>
      </w:pPr>
      <w:bookmarkStart w:id="65" w:name="_Toc15396626"/>
      <w:r>
        <w:rPr>
          <w:rStyle w:val="25"/>
          <w:rFonts w:hint="default" w:ascii="Times New Roman" w:hAnsi="Times New Roman" w:eastAsia="仿宋" w:cs="Times New Roman"/>
          <w:b w:val="0"/>
          <w:bCs w:val="0"/>
        </w:rPr>
        <w:t>八、</w:t>
      </w:r>
      <w:r>
        <w:rPr>
          <w:rFonts w:hint="default" w:ascii="Times New Roman" w:hAnsi="Times New Roman" w:eastAsia="仿宋" w:cs="Times New Roman"/>
          <w:b w:val="0"/>
        </w:rPr>
        <w:t>一</w:t>
      </w:r>
      <w:r>
        <w:rPr>
          <w:rStyle w:val="25"/>
          <w:rFonts w:hint="default" w:ascii="Times New Roman" w:hAnsi="Times New Roman" w:eastAsia="仿宋" w:cs="Times New Roman"/>
          <w:b w:val="0"/>
          <w:bCs w:val="0"/>
        </w:rPr>
        <w:t>般公共预算财政拨款基本支出决算表</w:t>
      </w:r>
      <w:bookmarkEnd w:id="65"/>
    </w:p>
    <w:p>
      <w:pPr>
        <w:pStyle w:val="4"/>
        <w:pageBreakBefore w:val="0"/>
        <w:kinsoku/>
        <w:wordWrap/>
        <w:overflowPunct/>
        <w:topLinePunct w:val="0"/>
        <w:bidi w:val="0"/>
        <w:spacing w:line="576" w:lineRule="exact"/>
        <w:rPr>
          <w:rFonts w:hint="default" w:ascii="Times New Roman" w:hAnsi="Times New Roman" w:eastAsia="仿宋" w:cs="Times New Roman"/>
        </w:rPr>
      </w:pPr>
      <w:bookmarkStart w:id="66" w:name="_Toc15396627"/>
      <w:r>
        <w:rPr>
          <w:rStyle w:val="25"/>
          <w:rFonts w:hint="default" w:ascii="Times New Roman" w:hAnsi="Times New Roman" w:eastAsia="仿宋" w:cs="Times New Roman"/>
          <w:b w:val="0"/>
          <w:bCs w:val="0"/>
        </w:rPr>
        <w:t>九、</w:t>
      </w:r>
      <w:r>
        <w:rPr>
          <w:rFonts w:hint="default" w:ascii="Times New Roman" w:hAnsi="Times New Roman" w:eastAsia="仿宋" w:cs="Times New Roman"/>
          <w:b w:val="0"/>
        </w:rPr>
        <w:t>一</w:t>
      </w:r>
      <w:r>
        <w:rPr>
          <w:rStyle w:val="25"/>
          <w:rFonts w:hint="default" w:ascii="Times New Roman" w:hAnsi="Times New Roman" w:eastAsia="仿宋" w:cs="Times New Roman"/>
          <w:b w:val="0"/>
          <w:bCs w:val="0"/>
        </w:rPr>
        <w:t>般公共预算财政拨款项目支出决算表</w:t>
      </w:r>
      <w:bookmarkEnd w:id="66"/>
    </w:p>
    <w:p>
      <w:pPr>
        <w:pStyle w:val="4"/>
        <w:pageBreakBefore w:val="0"/>
        <w:kinsoku/>
        <w:wordWrap/>
        <w:overflowPunct/>
        <w:topLinePunct w:val="0"/>
        <w:bidi w:val="0"/>
        <w:spacing w:line="576" w:lineRule="exact"/>
        <w:rPr>
          <w:rFonts w:hint="default" w:ascii="Times New Roman" w:hAnsi="Times New Roman" w:eastAsia="仿宋" w:cs="Times New Roman"/>
        </w:rPr>
      </w:pPr>
      <w:bookmarkStart w:id="67" w:name="_Toc15396628"/>
      <w:r>
        <w:rPr>
          <w:rStyle w:val="25"/>
          <w:rFonts w:hint="default" w:ascii="Times New Roman" w:hAnsi="Times New Roman" w:eastAsia="仿宋" w:cs="Times New Roman"/>
          <w:b w:val="0"/>
          <w:bCs w:val="0"/>
        </w:rPr>
        <w:t>十、</w:t>
      </w:r>
      <w:r>
        <w:rPr>
          <w:rFonts w:hint="default" w:ascii="Times New Roman" w:hAnsi="Times New Roman" w:eastAsia="仿宋" w:cs="Times New Roman"/>
          <w:b w:val="0"/>
        </w:rPr>
        <w:t>一</w:t>
      </w:r>
      <w:r>
        <w:rPr>
          <w:rStyle w:val="25"/>
          <w:rFonts w:hint="default" w:ascii="Times New Roman" w:hAnsi="Times New Roman" w:eastAsia="仿宋" w:cs="Times New Roman"/>
          <w:b w:val="0"/>
          <w:bCs w:val="0"/>
        </w:rPr>
        <w:t>般公共预算财政拨款“三公”经费支出决算表</w:t>
      </w:r>
      <w:bookmarkEnd w:id="67"/>
    </w:p>
    <w:p>
      <w:pPr>
        <w:pStyle w:val="4"/>
        <w:pageBreakBefore w:val="0"/>
        <w:kinsoku/>
        <w:wordWrap/>
        <w:overflowPunct/>
        <w:topLinePunct w:val="0"/>
        <w:bidi w:val="0"/>
        <w:spacing w:line="576" w:lineRule="exact"/>
        <w:rPr>
          <w:rFonts w:hint="default" w:ascii="Times New Roman" w:hAnsi="Times New Roman" w:eastAsia="仿宋" w:cs="Times New Roman"/>
        </w:rPr>
      </w:pPr>
      <w:bookmarkStart w:id="68" w:name="_Toc15396629"/>
      <w:r>
        <w:rPr>
          <w:rStyle w:val="25"/>
          <w:rFonts w:hint="default" w:ascii="Times New Roman" w:hAnsi="Times New Roman" w:eastAsia="仿宋" w:cs="Times New Roman"/>
          <w:b w:val="0"/>
          <w:bCs w:val="0"/>
        </w:rPr>
        <w:t>十一、</w:t>
      </w:r>
      <w:r>
        <w:rPr>
          <w:rFonts w:hint="default" w:ascii="Times New Roman" w:hAnsi="Times New Roman" w:eastAsia="仿宋" w:cs="Times New Roman"/>
          <w:b w:val="0"/>
        </w:rPr>
        <w:t>政</w:t>
      </w:r>
      <w:r>
        <w:rPr>
          <w:rStyle w:val="25"/>
          <w:rFonts w:hint="default" w:ascii="Times New Roman" w:hAnsi="Times New Roman" w:eastAsia="仿宋" w:cs="Times New Roman"/>
          <w:b w:val="0"/>
          <w:bCs w:val="0"/>
        </w:rPr>
        <w:t>府性基金预算财政拨款收入支出决算表</w:t>
      </w:r>
      <w:bookmarkEnd w:id="68"/>
    </w:p>
    <w:p>
      <w:pPr>
        <w:pStyle w:val="4"/>
        <w:pageBreakBefore w:val="0"/>
        <w:kinsoku/>
        <w:wordWrap/>
        <w:overflowPunct/>
        <w:topLinePunct w:val="0"/>
        <w:bidi w:val="0"/>
        <w:spacing w:line="576" w:lineRule="exact"/>
        <w:rPr>
          <w:rFonts w:hint="default" w:ascii="Times New Roman" w:hAnsi="Times New Roman" w:eastAsia="仿宋" w:cs="Times New Roman"/>
        </w:rPr>
      </w:pPr>
      <w:bookmarkStart w:id="69" w:name="_Toc15396630"/>
      <w:r>
        <w:rPr>
          <w:rStyle w:val="25"/>
          <w:rFonts w:hint="default" w:ascii="Times New Roman" w:hAnsi="Times New Roman" w:eastAsia="仿宋" w:cs="Times New Roman"/>
          <w:b w:val="0"/>
          <w:bCs w:val="0"/>
        </w:rPr>
        <w:t>十二、</w:t>
      </w:r>
      <w:r>
        <w:rPr>
          <w:rFonts w:hint="default" w:ascii="Times New Roman" w:hAnsi="Times New Roman" w:eastAsia="仿宋" w:cs="Times New Roman"/>
          <w:b w:val="0"/>
        </w:rPr>
        <w:t>政</w:t>
      </w:r>
      <w:r>
        <w:rPr>
          <w:rStyle w:val="25"/>
          <w:rFonts w:hint="default" w:ascii="Times New Roman" w:hAnsi="Times New Roman" w:eastAsia="仿宋" w:cs="Times New Roman"/>
          <w:b w:val="0"/>
          <w:bCs w:val="0"/>
        </w:rPr>
        <w:t>府性基金预算财政拨款“三公”经费支出决算表</w:t>
      </w:r>
      <w:bookmarkEnd w:id="69"/>
    </w:p>
    <w:p>
      <w:pPr>
        <w:pStyle w:val="4"/>
        <w:pageBreakBefore w:val="0"/>
        <w:kinsoku/>
        <w:wordWrap/>
        <w:overflowPunct/>
        <w:topLinePunct w:val="0"/>
        <w:bidi w:val="0"/>
        <w:spacing w:line="576" w:lineRule="exact"/>
        <w:rPr>
          <w:rStyle w:val="25"/>
          <w:rFonts w:hint="default" w:ascii="Times New Roman" w:hAnsi="Times New Roman" w:eastAsia="仿宋" w:cs="Times New Roman"/>
          <w:b w:val="0"/>
          <w:bCs w:val="0"/>
        </w:rPr>
      </w:pPr>
      <w:bookmarkStart w:id="70" w:name="_Toc15396631"/>
      <w:r>
        <w:rPr>
          <w:rStyle w:val="25"/>
          <w:rFonts w:hint="default" w:ascii="Times New Roman" w:hAnsi="Times New Roman" w:eastAsia="仿宋" w:cs="Times New Roman"/>
          <w:b w:val="0"/>
          <w:bCs w:val="0"/>
        </w:rPr>
        <w:t>十三、</w:t>
      </w:r>
      <w:r>
        <w:rPr>
          <w:rFonts w:hint="default" w:ascii="Times New Roman" w:hAnsi="Times New Roman" w:eastAsia="仿宋" w:cs="Times New Roman"/>
          <w:b w:val="0"/>
        </w:rPr>
        <w:t>国</w:t>
      </w:r>
      <w:r>
        <w:rPr>
          <w:rStyle w:val="25"/>
          <w:rFonts w:hint="default" w:ascii="Times New Roman" w:hAnsi="Times New Roman" w:eastAsia="仿宋" w:cs="Times New Roman"/>
          <w:b w:val="0"/>
          <w:bCs w:val="0"/>
        </w:rPr>
        <w:t>有资本经营预算财政拨款收入支出决算表</w:t>
      </w:r>
      <w:bookmarkEnd w:id="70"/>
    </w:p>
    <w:p>
      <w:pPr>
        <w:pageBreakBefore w:val="0"/>
        <w:kinsoku/>
        <w:wordWrap/>
        <w:overflowPunct/>
        <w:topLinePunct w:val="0"/>
        <w:bidi w:val="0"/>
        <w:spacing w:line="576" w:lineRule="exact"/>
        <w:rPr>
          <w:rFonts w:hint="default" w:ascii="Times New Roman" w:hAnsi="Times New Roman" w:eastAsia="仿宋" w:cs="Times New Roman"/>
        </w:rPr>
      </w:pPr>
      <w:r>
        <w:rPr>
          <w:rStyle w:val="25"/>
          <w:rFonts w:hint="default" w:ascii="Times New Roman" w:hAnsi="Times New Roman" w:eastAsia="仿宋" w:cs="Times New Roman"/>
          <w:b w:val="0"/>
          <w:bCs w:val="0"/>
        </w:rPr>
        <w:t>十四、国有资本经营预算财政拨款支出决算表</w:t>
      </w:r>
    </w:p>
    <w:sectPr>
      <w:headerReference r:id="rId3" w:type="default"/>
      <w:footerReference r:id="rId4" w:type="default"/>
      <w:pgSz w:w="11906" w:h="16838"/>
      <w:pgMar w:top="1440" w:right="1800" w:bottom="1440" w:left="1800"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方正楷体_GBK">
    <w:panose1 w:val="02000000000000000000"/>
    <w:charset w:val="86"/>
    <w:family w:val="script"/>
    <w:pitch w:val="default"/>
    <w:sig w:usb0="A00002BF" w:usb1="38CF7CFA" w:usb2="00082016" w:usb3="00000000" w:csb0="00040001" w:csb1="00000000"/>
  </w:font>
  <w:font w:name="方正小标宋_GBK">
    <w:panose1 w:val="02000000000000000000"/>
    <w:charset w:val="86"/>
    <w:family w:val="script"/>
    <w:pitch w:val="default"/>
    <w:sig w:usb0="A00002BF" w:usb1="38CF7CFA" w:usb2="00082016" w:usb3="00000000" w:csb0="00040001" w:csb1="00000000"/>
  </w:font>
  <w:font w:name="方正仿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文泉驿正黑">
    <w:panose1 w:val="02000603000000000000"/>
    <w:charset w:val="86"/>
    <w:family w:val="auto"/>
    <w:pitch w:val="default"/>
    <w:sig w:usb0="900002BF" w:usb1="2BDF7DFB" w:usb2="00000036" w:usb3="00000000" w:csb0="603E000D" w:csb1="D2D7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w:pict>
        <v:shape id="_x0000_s2049" o:spid="_x0000_s2049" o:spt="202" type="#_x0000_t202" style="position:absolute;left:0pt;margin-top:0pt;height:144pt;width:144pt;mso-position-horizontal:in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8"/>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v:textbox>
        </v:shape>
      </w:pict>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573794EE"/>
    <w:multiLevelType w:val="singleLevel"/>
    <w:tmpl w:val="573794EE"/>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3"/>
  <w:documentProtection w:enforcement="0"/>
  <w:defaultTabStop w:val="420"/>
  <w:drawingGridHorizontalSpacing w:val="105"/>
  <w:drawingGridVerticalSpacing w:val="156"/>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kwNTI5NTQwNzg0ZjA2OGMzMzVlODAxMWQ2MTY1YjQ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4EBC"/>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34D6"/>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66E0107"/>
    <w:rsid w:val="07996F6E"/>
    <w:rsid w:val="0A2032A3"/>
    <w:rsid w:val="101860EC"/>
    <w:rsid w:val="10C055FF"/>
    <w:rsid w:val="118107EC"/>
    <w:rsid w:val="13D50BC4"/>
    <w:rsid w:val="16BB723D"/>
    <w:rsid w:val="1BE8440E"/>
    <w:rsid w:val="1D155CEE"/>
    <w:rsid w:val="23860B96"/>
    <w:rsid w:val="240371BF"/>
    <w:rsid w:val="29FD04D3"/>
    <w:rsid w:val="2C8A61B5"/>
    <w:rsid w:val="2DF04E50"/>
    <w:rsid w:val="319F7F4E"/>
    <w:rsid w:val="36AA5135"/>
    <w:rsid w:val="37E16F03"/>
    <w:rsid w:val="3D98207C"/>
    <w:rsid w:val="3FFFF3E0"/>
    <w:rsid w:val="44E268DA"/>
    <w:rsid w:val="4A627F82"/>
    <w:rsid w:val="4B4F25DA"/>
    <w:rsid w:val="4BE068DB"/>
    <w:rsid w:val="4D577224"/>
    <w:rsid w:val="4EAB630A"/>
    <w:rsid w:val="4ECE2238"/>
    <w:rsid w:val="53D55595"/>
    <w:rsid w:val="541E3001"/>
    <w:rsid w:val="54827338"/>
    <w:rsid w:val="5AF92295"/>
    <w:rsid w:val="5CD71FC4"/>
    <w:rsid w:val="6C4A05C8"/>
    <w:rsid w:val="6E7E3605"/>
    <w:rsid w:val="6FF5CC65"/>
    <w:rsid w:val="715C0E4B"/>
    <w:rsid w:val="72734D90"/>
    <w:rsid w:val="73AD73D5"/>
    <w:rsid w:val="73B6EB34"/>
    <w:rsid w:val="79EE5BA4"/>
    <w:rsid w:val="7A894339"/>
    <w:rsid w:val="7E17E815"/>
    <w:rsid w:val="7EEF11D3"/>
    <w:rsid w:val="7FA30C79"/>
    <w:rsid w:val="7FC41DAB"/>
    <w:rsid w:val="7FC96657"/>
    <w:rsid w:val="7FDF790F"/>
    <w:rsid w:val="D8D6DB89"/>
    <w:rsid w:val="DB6F4CAB"/>
    <w:rsid w:val="DF6F9789"/>
    <w:rsid w:val="FAFF765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3"/>
    <w:qFormat/>
    <w:uiPriority w:val="9"/>
    <w:rPr>
      <w:rFonts w:ascii="Times New Roman" w:hAnsi="Times New Roman"/>
      <w:b/>
      <w:bCs/>
      <w:kern w:val="44"/>
      <w:sz w:val="44"/>
      <w:szCs w:val="44"/>
    </w:rPr>
  </w:style>
  <w:style w:type="character" w:customStyle="1" w:styleId="25">
    <w:name w:val="标题 2 Char"/>
    <w:basedOn w:val="13"/>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5"/>
    <w:qFormat/>
    <w:uiPriority w:val="9"/>
    <w:rPr>
      <w:rFonts w:ascii="Times New Roman" w:hAnsi="Times New Roman"/>
      <w:b/>
      <w:bCs/>
      <w:kern w:val="2"/>
      <w:sz w:val="32"/>
      <w:szCs w:val="32"/>
    </w:rPr>
  </w:style>
  <w:style w:type="paragraph" w:customStyle="1" w:styleId="29">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0">
    <w:name w:val="font41"/>
    <w:basedOn w:val="13"/>
    <w:qFormat/>
    <w:uiPriority w:val="0"/>
    <w:rPr>
      <w:rFonts w:hint="eastAsia" w:ascii="方正小标宋简体" w:hAnsi="方正小标宋简体" w:eastAsia="方正小标宋简体" w:cs="方正小标宋简体"/>
      <w:color w:val="000000"/>
      <w:sz w:val="32"/>
      <w:szCs w:val="32"/>
      <w:u w:val="none"/>
    </w:rPr>
  </w:style>
  <w:style w:type="character" w:customStyle="1" w:styleId="31">
    <w:name w:val="font11"/>
    <w:basedOn w:val="13"/>
    <w:qFormat/>
    <w:uiPriority w:val="0"/>
    <w:rPr>
      <w:rFonts w:hint="default" w:ascii="Times New Roman" w:hAnsi="Times New Roman" w:cs="Times New Roman"/>
      <w:color w:val="000000"/>
      <w:sz w:val="32"/>
      <w:szCs w:val="32"/>
      <w:u w:val="none"/>
    </w:rPr>
  </w:style>
  <w:style w:type="character" w:customStyle="1" w:styleId="32">
    <w:name w:val="font61"/>
    <w:basedOn w:val="13"/>
    <w:qFormat/>
    <w:uiPriority w:val="0"/>
    <w:rPr>
      <w:rFonts w:hint="eastAsia" w:ascii="方正小标宋简体" w:hAnsi="方正小标宋简体" w:eastAsia="方正小标宋简体" w:cs="方正小标宋简体"/>
      <w:b/>
      <w:bCs/>
      <w:color w:val="000000"/>
      <w:sz w:val="32"/>
      <w:szCs w:val="32"/>
      <w:u w:val="none"/>
    </w:rPr>
  </w:style>
  <w:style w:type="character" w:customStyle="1" w:styleId="33">
    <w:name w:val="font51"/>
    <w:basedOn w:val="13"/>
    <w:qFormat/>
    <w:uiPriority w:val="0"/>
    <w:rPr>
      <w:rFonts w:hint="default" w:ascii="Times New Roman" w:hAnsi="Times New Roman" w:cs="Times New Roman"/>
      <w:b/>
      <w:bCs/>
      <w:color w:val="000000"/>
      <w:sz w:val="32"/>
      <w:szCs w:val="32"/>
      <w:u w:val="none"/>
    </w:rPr>
  </w:style>
  <w:style w:type="character" w:customStyle="1" w:styleId="34">
    <w:name w:val="font81"/>
    <w:basedOn w:val="1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H:\2022&#24180;&#20013;&#26399;&#35780;&#20272;\&#22270;&#2663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H:\2022&#24180;&#20013;&#26399;&#35780;&#20272;\&#22270;&#2663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H:\2022&#24180;&#20013;&#26399;&#35780;&#20272;\&#22270;&#2663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H:\2022&#24180;&#20013;&#26399;&#35780;&#20272;\&#22270;&#2663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H:\2022&#24180;&#20013;&#26399;&#35780;&#20272;\&#22270;&#2663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H:\2022&#24180;&#20013;&#26399;&#35780;&#20272;\&#22270;&#2663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clustered"/>
        <c:varyColors val="false"/>
        <c:ser>
          <c:idx val="0"/>
          <c:order val="0"/>
          <c:tx>
            <c:strRef>
              <c:f>侨联!$A$2</c:f>
              <c:strCache>
                <c:ptCount val="1"/>
                <c:pt idx="0">
                  <c:v>2020年</c:v>
                </c:pt>
              </c:strCache>
            </c:strRef>
          </c:tx>
          <c:invertIfNegative val="false"/>
          <c:dLbls>
            <c:delete val="true"/>
          </c:dLbls>
          <c:cat>
            <c:strRef>
              <c:f>侨联!$B$1:$C$1</c:f>
              <c:strCache>
                <c:ptCount val="2"/>
                <c:pt idx="0">
                  <c:v>收入</c:v>
                </c:pt>
                <c:pt idx="1">
                  <c:v>支出</c:v>
                </c:pt>
              </c:strCache>
            </c:strRef>
          </c:cat>
          <c:val>
            <c:numRef>
              <c:f>侨联!$B$2:$C$2</c:f>
              <c:numCache>
                <c:formatCode>General</c:formatCode>
                <c:ptCount val="2"/>
                <c:pt idx="0">
                  <c:v>206.81</c:v>
                </c:pt>
                <c:pt idx="1">
                  <c:v>209.5</c:v>
                </c:pt>
              </c:numCache>
            </c:numRef>
          </c:val>
        </c:ser>
        <c:ser>
          <c:idx val="1"/>
          <c:order val="1"/>
          <c:tx>
            <c:strRef>
              <c:f>侨联!$A$3</c:f>
              <c:strCache>
                <c:ptCount val="1"/>
                <c:pt idx="0">
                  <c:v>2021年</c:v>
                </c:pt>
              </c:strCache>
            </c:strRef>
          </c:tx>
          <c:invertIfNegative val="false"/>
          <c:dLbls>
            <c:delete val="true"/>
          </c:dLbls>
          <c:cat>
            <c:strRef>
              <c:f>侨联!$B$1:$C$1</c:f>
              <c:strCache>
                <c:ptCount val="2"/>
                <c:pt idx="0">
                  <c:v>收入</c:v>
                </c:pt>
                <c:pt idx="1">
                  <c:v>支出</c:v>
                </c:pt>
              </c:strCache>
            </c:strRef>
          </c:cat>
          <c:val>
            <c:numRef>
              <c:f>侨联!$B$3:$C$3</c:f>
              <c:numCache>
                <c:formatCode>General</c:formatCode>
                <c:ptCount val="2"/>
                <c:pt idx="0">
                  <c:v>205.5</c:v>
                </c:pt>
                <c:pt idx="1">
                  <c:v>209.64</c:v>
                </c:pt>
              </c:numCache>
            </c:numRef>
          </c:val>
        </c:ser>
        <c:dLbls>
          <c:showLegendKey val="false"/>
          <c:showVal val="false"/>
          <c:showCatName val="false"/>
          <c:showSerName val="false"/>
          <c:showPercent val="false"/>
          <c:showBubbleSize val="false"/>
        </c:dLbls>
        <c:gapWidth val="150"/>
        <c:axId val="197371776"/>
        <c:axId val="197373312"/>
      </c:barChart>
      <c:catAx>
        <c:axId val="197371776"/>
        <c:scaling>
          <c:orientation val="minMax"/>
        </c:scaling>
        <c:delete val="false"/>
        <c:axPos val="b"/>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97373312"/>
        <c:crosses val="autoZero"/>
        <c:auto val="true"/>
        <c:lblAlgn val="ctr"/>
        <c:lblOffset val="100"/>
        <c:noMultiLvlLbl val="false"/>
      </c:catAx>
      <c:valAx>
        <c:axId val="197373312"/>
        <c:scaling>
          <c:orientation val="minMax"/>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97371776"/>
        <c:crosses val="autoZero"/>
        <c:crossBetween val="between"/>
      </c:valAx>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explosion val="0"/>
          <c:dPt>
            <c:idx val="0"/>
            <c:bubble3D val="false"/>
          </c:dPt>
          <c:dPt>
            <c:idx val="1"/>
            <c:bubble3D val="false"/>
          </c:dPt>
          <c:dPt>
            <c:idx val="2"/>
            <c:bubble3D val="false"/>
          </c:dPt>
          <c:dPt>
            <c:idx val="3"/>
            <c:bubble3D val="false"/>
          </c:dPt>
          <c:dPt>
            <c:idx val="4"/>
            <c:bubble3D val="false"/>
          </c:dPt>
          <c:dPt>
            <c:idx val="5"/>
            <c:bubble3D val="false"/>
          </c:dPt>
          <c:dPt>
            <c:idx val="6"/>
            <c:bubble3D val="false"/>
          </c:dPt>
          <c:dLbls>
            <c:delete val="true"/>
          </c:dLbls>
          <c:cat>
            <c:strRef>
              <c:f>侨联!$A$11:$A$17</c:f>
              <c:strCache>
                <c:ptCount val="7"/>
                <c:pt idx="0">
                  <c:v>一般公共预算财政拨款收入</c:v>
                </c:pt>
                <c:pt idx="1">
                  <c:v>政府性基金预算财政拨款收入</c:v>
                </c:pt>
                <c:pt idx="2">
                  <c:v>上级补助收入</c:v>
                </c:pt>
                <c:pt idx="3">
                  <c:v>事业收入</c:v>
                </c:pt>
                <c:pt idx="4">
                  <c:v>经营收入</c:v>
                </c:pt>
                <c:pt idx="5">
                  <c:v>附属单位上缴收入</c:v>
                </c:pt>
                <c:pt idx="6">
                  <c:v>其他收入</c:v>
                </c:pt>
              </c:strCache>
            </c:strRef>
          </c:cat>
          <c:val>
            <c:numRef>
              <c:f>侨联!$B$11:$B$17</c:f>
              <c:numCache>
                <c:formatCode>General</c:formatCode>
                <c:ptCount val="7"/>
                <c:pt idx="0">
                  <c:v>205.5</c:v>
                </c:pt>
              </c:numCache>
            </c:numRef>
          </c:val>
        </c:ser>
        <c:dLbls>
          <c:showLegendKey val="false"/>
          <c:showVal val="false"/>
          <c:showCatName val="false"/>
          <c:showSerName val="false"/>
          <c:showPercent val="false"/>
          <c:showBubbleSize val="false"/>
          <c:showLeaderLines val="true"/>
        </c:dLbls>
        <c:firstSliceAng val="0"/>
      </c:pieChart>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zero"/>
    <c:showDLblsOverMax val="false"/>
  </c:chart>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explosion val="0"/>
          <c:dPt>
            <c:idx val="0"/>
            <c:bubble3D val="false"/>
          </c:dPt>
          <c:dPt>
            <c:idx val="1"/>
            <c:bubble3D val="false"/>
          </c:dPt>
          <c:dPt>
            <c:idx val="2"/>
            <c:bubble3D val="false"/>
          </c:dPt>
          <c:dPt>
            <c:idx val="3"/>
            <c:bubble3D val="false"/>
          </c:dPt>
          <c:dPt>
            <c:idx val="4"/>
            <c:bubble3D val="false"/>
          </c:dPt>
          <c:dLbls>
            <c:delete val="true"/>
          </c:dLbls>
          <c:cat>
            <c:strRef>
              <c:f>侨联!$A$24:$A$28</c:f>
              <c:strCache>
                <c:ptCount val="5"/>
                <c:pt idx="0">
                  <c:v>基本支出</c:v>
                </c:pt>
                <c:pt idx="1">
                  <c:v>项目支出</c:v>
                </c:pt>
                <c:pt idx="2">
                  <c:v>上缴上级支出</c:v>
                </c:pt>
                <c:pt idx="3">
                  <c:v>经营支出</c:v>
                </c:pt>
                <c:pt idx="4">
                  <c:v>对附属单位补助支出</c:v>
                </c:pt>
              </c:strCache>
            </c:strRef>
          </c:cat>
          <c:val>
            <c:numRef>
              <c:f>侨联!$B$24:$B$28</c:f>
              <c:numCache>
                <c:formatCode>General</c:formatCode>
                <c:ptCount val="5"/>
                <c:pt idx="0">
                  <c:v>158.8</c:v>
                </c:pt>
                <c:pt idx="1">
                  <c:v>50.84</c:v>
                </c:pt>
              </c:numCache>
            </c:numRef>
          </c:val>
        </c:ser>
        <c:dLbls>
          <c:showLegendKey val="false"/>
          <c:showVal val="false"/>
          <c:showCatName val="false"/>
          <c:showSerName val="false"/>
          <c:showPercent val="false"/>
          <c:showBubbleSize val="false"/>
          <c:showLeaderLines val="true"/>
        </c:dLbls>
        <c:firstSliceAng val="0"/>
      </c:pieChart>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zero"/>
    <c:showDLblsOverMax val="false"/>
  </c:chart>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clustered"/>
        <c:varyColors val="false"/>
        <c:ser>
          <c:idx val="0"/>
          <c:order val="0"/>
          <c:tx>
            <c:strRef>
              <c:f>侨联!$A$33</c:f>
              <c:strCache>
                <c:ptCount val="1"/>
                <c:pt idx="0">
                  <c:v>2020年</c:v>
                </c:pt>
              </c:strCache>
            </c:strRef>
          </c:tx>
          <c:invertIfNegative val="false"/>
          <c:dLbls>
            <c:delete val="true"/>
          </c:dLbls>
          <c:cat>
            <c:strRef>
              <c:f>侨联!$B$32:$C$32</c:f>
              <c:strCache>
                <c:ptCount val="2"/>
                <c:pt idx="0">
                  <c:v>财政拨款收入</c:v>
                </c:pt>
                <c:pt idx="1">
                  <c:v>财政拨款支出</c:v>
                </c:pt>
              </c:strCache>
            </c:strRef>
          </c:cat>
          <c:val>
            <c:numRef>
              <c:f>侨联!$B$33:$C$33</c:f>
              <c:numCache>
                <c:formatCode>General</c:formatCode>
                <c:ptCount val="2"/>
                <c:pt idx="0">
                  <c:v>206.81</c:v>
                </c:pt>
                <c:pt idx="1">
                  <c:v>209.5</c:v>
                </c:pt>
              </c:numCache>
            </c:numRef>
          </c:val>
        </c:ser>
        <c:ser>
          <c:idx val="1"/>
          <c:order val="1"/>
          <c:tx>
            <c:strRef>
              <c:f>侨联!$A$34</c:f>
              <c:strCache>
                <c:ptCount val="1"/>
                <c:pt idx="0">
                  <c:v>2021年</c:v>
                </c:pt>
              </c:strCache>
            </c:strRef>
          </c:tx>
          <c:invertIfNegative val="false"/>
          <c:dLbls>
            <c:delete val="true"/>
          </c:dLbls>
          <c:cat>
            <c:strRef>
              <c:f>侨联!$B$32:$C$32</c:f>
              <c:strCache>
                <c:ptCount val="2"/>
                <c:pt idx="0">
                  <c:v>财政拨款收入</c:v>
                </c:pt>
                <c:pt idx="1">
                  <c:v>财政拨款支出</c:v>
                </c:pt>
              </c:strCache>
            </c:strRef>
          </c:cat>
          <c:val>
            <c:numRef>
              <c:f>侨联!$B$34:$C$34</c:f>
              <c:numCache>
                <c:formatCode>General</c:formatCode>
                <c:ptCount val="2"/>
                <c:pt idx="0">
                  <c:v>205.5</c:v>
                </c:pt>
                <c:pt idx="1">
                  <c:v>209.64</c:v>
                </c:pt>
              </c:numCache>
            </c:numRef>
          </c:val>
        </c:ser>
        <c:dLbls>
          <c:showLegendKey val="false"/>
          <c:showVal val="false"/>
          <c:showCatName val="false"/>
          <c:showSerName val="false"/>
          <c:showPercent val="false"/>
          <c:showBubbleSize val="false"/>
        </c:dLbls>
        <c:gapWidth val="150"/>
        <c:axId val="197266816"/>
        <c:axId val="197272704"/>
      </c:barChart>
      <c:catAx>
        <c:axId val="197266816"/>
        <c:scaling>
          <c:orientation val="minMax"/>
        </c:scaling>
        <c:delete val="false"/>
        <c:axPos val="b"/>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97272704"/>
        <c:crosses val="autoZero"/>
        <c:auto val="true"/>
        <c:lblAlgn val="ctr"/>
        <c:lblOffset val="100"/>
        <c:noMultiLvlLbl val="false"/>
      </c:catAx>
      <c:valAx>
        <c:axId val="197272704"/>
        <c:scaling>
          <c:orientation val="minMax"/>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97266816"/>
        <c:crosses val="autoZero"/>
        <c:crossBetween val="between"/>
      </c:valAx>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barChart>
        <c:barDir val="col"/>
        <c:grouping val="clustered"/>
        <c:varyColors val="false"/>
        <c:ser>
          <c:idx val="0"/>
          <c:order val="0"/>
          <c:tx>
            <c:strRef>
              <c:f>侨联!$A$37</c:f>
              <c:strCache>
                <c:ptCount val="1"/>
                <c:pt idx="0">
                  <c:v>财政拨款支出</c:v>
                </c:pt>
              </c:strCache>
            </c:strRef>
          </c:tx>
          <c:invertIfNegative val="false"/>
          <c:dLbls>
            <c:delete val="true"/>
          </c:dLbls>
          <c:cat>
            <c:strRef>
              <c:f>侨联!$B$36:$C$36</c:f>
              <c:strCache>
                <c:ptCount val="2"/>
                <c:pt idx="0">
                  <c:v>2021年</c:v>
                </c:pt>
                <c:pt idx="1">
                  <c:v>2020年</c:v>
                </c:pt>
              </c:strCache>
            </c:strRef>
          </c:cat>
          <c:val>
            <c:numRef>
              <c:f>侨联!$B$37:$C$37</c:f>
              <c:numCache>
                <c:formatCode>General</c:formatCode>
                <c:ptCount val="2"/>
                <c:pt idx="0">
                  <c:v>209.64</c:v>
                </c:pt>
                <c:pt idx="1">
                  <c:v>209.5</c:v>
                </c:pt>
              </c:numCache>
            </c:numRef>
          </c:val>
        </c:ser>
        <c:dLbls>
          <c:showLegendKey val="false"/>
          <c:showVal val="false"/>
          <c:showCatName val="false"/>
          <c:showSerName val="false"/>
          <c:showPercent val="false"/>
          <c:showBubbleSize val="false"/>
        </c:dLbls>
        <c:gapWidth val="150"/>
        <c:axId val="197309184"/>
        <c:axId val="197310720"/>
      </c:barChart>
      <c:catAx>
        <c:axId val="197309184"/>
        <c:scaling>
          <c:orientation val="minMax"/>
        </c:scaling>
        <c:delete val="false"/>
        <c:axPos val="b"/>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97310720"/>
        <c:crosses val="autoZero"/>
        <c:auto val="true"/>
        <c:lblAlgn val="ctr"/>
        <c:lblOffset val="100"/>
        <c:noMultiLvlLbl val="false"/>
      </c:catAx>
      <c:valAx>
        <c:axId val="197310720"/>
        <c:scaling>
          <c:orientation val="minMax"/>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97309184"/>
        <c:crosses val="autoZero"/>
        <c:crossBetween val="between"/>
      </c:valAx>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explosion val="0"/>
          <c:dPt>
            <c:idx val="0"/>
            <c:bubble3D val="false"/>
          </c:dPt>
          <c:dPt>
            <c:idx val="1"/>
            <c:bubble3D val="false"/>
          </c:dPt>
          <c:dPt>
            <c:idx val="2"/>
            <c:bubble3D val="false"/>
          </c:dPt>
          <c:dPt>
            <c:idx val="3"/>
            <c:bubble3D val="false"/>
          </c:dPt>
          <c:dPt>
            <c:idx val="4"/>
            <c:bubble3D val="false"/>
          </c:dPt>
          <c:dPt>
            <c:idx val="5"/>
            <c:bubble3D val="false"/>
          </c:dPt>
          <c:dPt>
            <c:idx val="6"/>
            <c:bubble3D val="false"/>
          </c:dPt>
          <c:dLbls>
            <c:delete val="true"/>
          </c:dLbls>
          <c:cat>
            <c:strRef>
              <c:f>侨联!$A$40:$A$46</c:f>
              <c:strCache>
                <c:ptCount val="7"/>
                <c:pt idx="0">
                  <c:v>一般公共服务（类）支出</c:v>
                </c:pt>
                <c:pt idx="1">
                  <c:v>教育支出（类）</c:v>
                </c:pt>
                <c:pt idx="2">
                  <c:v>科学技术（类）支出</c:v>
                </c:pt>
                <c:pt idx="3">
                  <c:v>文化旅游体育与传媒（类）支出</c:v>
                </c:pt>
                <c:pt idx="4">
                  <c:v>社会保障和就业（类）支出</c:v>
                </c:pt>
                <c:pt idx="5">
                  <c:v>卫生健康支出</c:v>
                </c:pt>
                <c:pt idx="6">
                  <c:v>住房保障支出</c:v>
                </c:pt>
              </c:strCache>
            </c:strRef>
          </c:cat>
          <c:val>
            <c:numRef>
              <c:f>侨联!$B$40:$B$46</c:f>
              <c:numCache>
                <c:formatCode>General</c:formatCode>
                <c:ptCount val="7"/>
                <c:pt idx="0">
                  <c:v>180</c:v>
                </c:pt>
                <c:pt idx="4">
                  <c:v>14.44</c:v>
                </c:pt>
                <c:pt idx="5">
                  <c:v>7.2</c:v>
                </c:pt>
                <c:pt idx="6">
                  <c:v>8</c:v>
                </c:pt>
              </c:numCache>
            </c:numRef>
          </c:val>
        </c:ser>
        <c:dLbls>
          <c:showLegendKey val="false"/>
          <c:showVal val="false"/>
          <c:showCatName val="false"/>
          <c:showSerName val="false"/>
          <c:showPercent val="false"/>
          <c:showBubbleSize val="false"/>
          <c:showLeaderLines val="true"/>
        </c:dLbls>
        <c:firstSliceAng val="0"/>
      </c:pieChart>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zero"/>
    <c:showDLblsOverMax val="false"/>
  </c:chart>
  <c:txPr>
    <a:bodyPr/>
    <a:lstStyle/>
    <a:p>
      <a:pPr>
        <a:defRPr lang="zh-CN"/>
      </a:pPr>
    </a:p>
  </c:txPr>
  <c:externalData r:id="rId1">
    <c:autoUpdate val="false"/>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40</Pages>
  <Words>14361</Words>
  <Characters>15317</Characters>
  <Lines>27</Lines>
  <Paragraphs>35</Paragraphs>
  <TotalTime>4</TotalTime>
  <ScaleCrop>false</ScaleCrop>
  <LinksUpToDate>false</LinksUpToDate>
  <CharactersWithSpaces>16254</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2020-08-05T09:49:00Z</dcterms:created>
  <dc:creator>曹颖</dc:creator>
  <cp:lastModifiedBy>user</cp:lastModifiedBy>
  <cp:lastPrinted>2022-08-08T17:11:00Z</cp:lastPrinted>
  <dcterms:modified xsi:type="dcterms:W3CDTF">2022-10-10T13:39:59Z</dcterms:modified>
  <dc:title>四川省***</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y fmtid="{D5CDD505-2E9C-101B-9397-08002B2CF9AE}" pid="3" name="ICV">
    <vt:lpwstr>57D18EF25A2E48668E92D862CA6CD4DE</vt:lpwstr>
  </property>
</Properties>
</file>